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33"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3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2</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Diego Octávio dos Reis, 21000842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Helena Santana Silveira, 21000161</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Rute da Silva Nascimento Mauch, 21000834</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3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9">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A">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D">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E">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F">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0">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1">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2">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6">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 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2">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7">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9">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0">
      <w:pPr>
        <w:spacing w:after="200" w:line="36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91">
      <w:pPr>
        <w:spacing w:after="20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PARECER JURÍDICO</w:t>
      </w:r>
    </w:p>
    <w:p w:rsidR="00000000" w:rsidDel="00000000" w:rsidP="00000000" w:rsidRDefault="00000000" w:rsidRPr="00000000" w14:paraId="00000092">
      <w:pPr>
        <w:spacing w:after="200"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3">
      <w:pPr>
        <w:spacing w:after="0" w:line="360" w:lineRule="auto"/>
        <w:jc w:val="both"/>
        <w:rPr>
          <w:rFonts w:ascii="Times New Roman" w:cs="Times New Roman" w:eastAsia="Times New Roman" w:hAnsi="Times New Roman"/>
          <w:color w:val="3c4043"/>
          <w:sz w:val="21"/>
          <w:szCs w:val="21"/>
          <w:highlight w:val="white"/>
        </w:rPr>
      </w:pPr>
      <w:r w:rsidDel="00000000" w:rsidR="00000000" w:rsidRPr="00000000">
        <w:rPr>
          <w:rFonts w:ascii="Times New Roman" w:cs="Times New Roman" w:eastAsia="Times New Roman" w:hAnsi="Times New Roman"/>
          <w:sz w:val="24"/>
          <w:szCs w:val="24"/>
          <w:rtl w:val="0"/>
        </w:rPr>
        <w:t xml:space="preserve">Assunto: Indeferimento de candidatura e hipóteses de inelegibilidade. Depoimento pessoal. Desconsideração da personalidade jurídica. Erro de proibição.</w:t>
      </w:r>
      <w:r w:rsidDel="00000000" w:rsidR="00000000" w:rsidRPr="00000000">
        <w:rPr>
          <w:rtl w:val="0"/>
        </w:rPr>
      </w:r>
    </w:p>
    <w:p w:rsidR="00000000" w:rsidDel="00000000" w:rsidP="00000000" w:rsidRDefault="00000000" w:rsidRPr="00000000" w14:paraId="00000094">
      <w:pPr>
        <w:spacing w:after="0" w:line="360" w:lineRule="auto"/>
        <w:jc w:val="both"/>
        <w:rPr>
          <w:rFonts w:ascii="Times New Roman" w:cs="Times New Roman" w:eastAsia="Times New Roman" w:hAnsi="Times New Roman"/>
          <w:color w:val="3c4043"/>
          <w:sz w:val="21"/>
          <w:szCs w:val="21"/>
          <w:highlight w:val="white"/>
        </w:rPr>
      </w:pPr>
      <w:r w:rsidDel="00000000" w:rsidR="00000000" w:rsidRPr="00000000">
        <w:rPr>
          <w:rtl w:val="0"/>
        </w:rPr>
      </w:r>
    </w:p>
    <w:p w:rsidR="00000000" w:rsidDel="00000000" w:rsidP="00000000" w:rsidRDefault="00000000" w:rsidRPr="00000000" w14:paraId="0000009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w:t>
      </w:r>
      <w:r w:rsidDel="00000000" w:rsidR="00000000" w:rsidRPr="00000000">
        <w:rPr>
          <w:rFonts w:ascii="Times New Roman" w:cs="Times New Roman" w:eastAsia="Times New Roman" w:hAnsi="Times New Roman"/>
          <w:sz w:val="24"/>
          <w:szCs w:val="24"/>
          <w:highlight w:val="white"/>
          <w:rtl w:val="0"/>
        </w:rPr>
        <w:t xml:space="preserve">Márcio Dias</w:t>
      </w:r>
      <w:r w:rsidDel="00000000" w:rsidR="00000000" w:rsidRPr="00000000">
        <w:rPr>
          <w:rtl w:val="0"/>
        </w:rPr>
      </w:r>
    </w:p>
    <w:p w:rsidR="00000000" w:rsidDel="00000000" w:rsidP="00000000" w:rsidRDefault="00000000" w:rsidRPr="00000000" w14:paraId="00000096">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spacing w:after="20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CONSTITUCIONAL. INELEGIBILIDADE. PROCESSO CIVIL. DEPOIMENTO PESSOAL. AUDIÊNCIA POR VIDEOCONFERÊNCIA E OUTROS MEIOS DE COMUNICAÇÃO. EMPRESARIAL. DESCONSIDERAÇÃO DA PERSONALIDADE JURÍDICA. DIREITO PENAL. ERRO DE PROIBIÇÃO</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tl w:val="0"/>
        </w:rPr>
      </w:r>
    </w:p>
    <w:p w:rsidR="00000000" w:rsidDel="00000000" w:rsidP="00000000" w:rsidRDefault="00000000" w:rsidRPr="00000000" w14:paraId="00000098">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after="20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highlight w:val="white"/>
          <w:rtl w:val="0"/>
        </w:rPr>
        <w:t xml:space="preserve">O presente parecer jurídico trata-se de atendimento consultivo prestado à Márcio Dias, titular da empresa MD Technologies, empresa esta pertencente ao ramo de comércio eletrônico, que foi enquadrada como E</w:t>
      </w:r>
      <w:r w:rsidDel="00000000" w:rsidR="00000000" w:rsidRPr="00000000">
        <w:rPr>
          <w:rFonts w:ascii="Times New Roman" w:cs="Times New Roman" w:eastAsia="Times New Roman" w:hAnsi="Times New Roman"/>
          <w:sz w:val="24"/>
          <w:szCs w:val="24"/>
          <w:rtl w:val="0"/>
        </w:rPr>
        <w:t xml:space="preserve">mpresa Individual de Responsabilidade Limitada (EIRELI),</w:t>
      </w:r>
      <w:r w:rsidDel="00000000" w:rsidR="00000000" w:rsidRPr="00000000">
        <w:rPr>
          <w:rFonts w:ascii="Times New Roman" w:cs="Times New Roman" w:eastAsia="Times New Roman" w:hAnsi="Times New Roman"/>
          <w:sz w:val="24"/>
          <w:szCs w:val="24"/>
          <w:highlight w:val="white"/>
          <w:rtl w:val="0"/>
        </w:rPr>
        <w:t xml:space="preserve"> e que teve sua sede localizada na Capital Paulista e uma filial na cidade de Mogi das Cruzes - SP.</w:t>
      </w:r>
    </w:p>
    <w:p w:rsidR="00000000" w:rsidDel="00000000" w:rsidP="00000000" w:rsidRDefault="00000000" w:rsidRPr="00000000" w14:paraId="0000009A">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Relata o consulente que possuía uma vida financeira muito boa e o faturamento da empresa eram elevados. Dessa forma,</w:t>
      </w:r>
      <w:r w:rsidDel="00000000" w:rsidR="00000000" w:rsidRPr="00000000">
        <w:rPr>
          <w:rFonts w:ascii="Times New Roman" w:cs="Times New Roman" w:eastAsia="Times New Roman" w:hAnsi="Times New Roman"/>
          <w:sz w:val="24"/>
          <w:szCs w:val="24"/>
          <w:highlight w:val="white"/>
          <w:rtl w:val="0"/>
        </w:rPr>
        <w:t xml:space="preserve"> no ano de 2015, com o intuito de acompanhar melhor o desenvolvimento de sua filial, alugou um apartamento na zona nobre da cidade </w:t>
      </w:r>
      <w:r w:rsidDel="00000000" w:rsidR="00000000" w:rsidRPr="00000000">
        <w:rPr>
          <w:rFonts w:ascii="Times New Roman" w:cs="Times New Roman" w:eastAsia="Times New Roman" w:hAnsi="Times New Roman"/>
          <w:sz w:val="24"/>
          <w:szCs w:val="24"/>
          <w:rtl w:val="0"/>
        </w:rPr>
        <w:t xml:space="preserve">de Mogi das Cruzes. Porém, no ano de 2018, Márcio relata que houve uma grave crise no setor de comércio eletrônico, a qual afetou drasticamente sua empresa, consequentemente não mais pode honrar com alguns fornecedores e com o aluguel do apartamento, apitando, pois, pelo  fechamento da filial em meados de 2021. Retornou à capital, para tentar recuperar a vida financeira de sua sede, a qual passou a ser uma Sociedade Limitada Unipessoal (SLU), no entanto sem sucesso.</w:t>
      </w:r>
    </w:p>
    <w:p w:rsidR="00000000" w:rsidDel="00000000" w:rsidP="00000000" w:rsidRDefault="00000000" w:rsidRPr="00000000" w14:paraId="0000009B">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Desanimado com sua área de atuação, Márcio decide seguir a atividade clássica de sua família: a política. Relata ainda, que seu pai  Olavo Dias, em 2018, alcançou o cargo de Governador do Estado e após muito refletir, filiou-se ao partido de seu pai no ano de 2021, para concorrer ao cargo de Deputado Federal nas eleições do ano seguinte, 2022.</w:t>
      </w:r>
    </w:p>
    <w:p w:rsidR="00000000" w:rsidDel="00000000" w:rsidP="00000000" w:rsidRDefault="00000000" w:rsidRPr="00000000" w14:paraId="0000009C">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a comissão interna responsável pelas prévias das candidaturas do partido, indeferiu a candidatura de Márcio, oportunizando recurso ao Diretório Estadual. O parecer emitido pela comissão alegou que Olavo concorreria a  reeleição para o cargo de Governador estadual, e em razão do parentesco entre eles, poderia acarretar a inelegibilidade de Olavo, que ao ver do partido teria maior possibilidade de ser eleito.</w:t>
      </w:r>
    </w:p>
    <w:p w:rsidR="00000000" w:rsidDel="00000000" w:rsidP="00000000" w:rsidRDefault="00000000" w:rsidRPr="00000000" w14:paraId="0000009D">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a sua questão financeira, não havia nenhum sinal de melhora, dispondo de bens da empresa para saldar dívidas de credores e antigos funcionários que tiveram de ser desligados devido à crise. Diante disso, sua empresa não possuía mais nenhum patrimônio além do necessário para as atividades da sede da capital.</w:t>
      </w:r>
    </w:p>
    <w:p w:rsidR="00000000" w:rsidDel="00000000" w:rsidP="00000000" w:rsidRDefault="00000000" w:rsidRPr="00000000" w14:paraId="0000009E">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Márcio é citado em uma ação de cobrança, em trâmite na Comarca de Mogi das Cruzes, devido às falhas de seis meses de atraso no aluguel, somando 72.000,00 (setenta e dois mil reais), além de uma multa de 20% (vinte por cento) sobre tal valor, prevista no contrato.</w:t>
      </w:r>
    </w:p>
    <w:p w:rsidR="00000000" w:rsidDel="00000000" w:rsidP="00000000" w:rsidRDefault="00000000" w:rsidRPr="00000000" w14:paraId="0000009F">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Aflito com toda a situação que estava enfrentando, Márcio não se atenta ao prazo de contestação e não especifica provas. Em sentido contrário, sua locadora requereu o depoimento do mesmo, que foi aceito pelo juiz, e este designa audiência de instrução a ser realizada na comarca de Mogi das Cruzes, a fim de colher o depoimento do réu. Além disso, a falta de Márcio na sessão sem justificativa, acarretaria prejuízos processuais, especificado na intimação recebida.</w:t>
      </w:r>
    </w:p>
    <w:p w:rsidR="00000000" w:rsidDel="00000000" w:rsidP="00000000" w:rsidRDefault="00000000" w:rsidRPr="00000000" w14:paraId="000000A0">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a visita do oficial de justiça, o empresário toma ciência de outros dois processos.</w:t>
      </w:r>
    </w:p>
    <w:p w:rsidR="00000000" w:rsidDel="00000000" w:rsidP="00000000" w:rsidRDefault="00000000" w:rsidRPr="00000000" w14:paraId="000000A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primeiro, trata-se de uma ação de cobrança contra a sua empresa MD Technologies, iniciada por outra empresa, PNTM Security, na qual fornecia serviços de segurança à empresa de Márcio. Na inicial, ela alega a escassez relativa a três meses de serviço, totalizando R$ 150.000,00 (cento e cinquenta mil reais). Além do pedido de condenação de sua empresa, Márcio surpreende-se com o pedido de  desconsideração da personalidade jurídica, justificada a alegação com o argumento de que ele está “dilapidando seu patrimônio de modo a não honrar com as obrigações contraídas”. Quanto ao pleito, o juiz definiu que será concluído assim que ocorrer a contestação da empresa requerida.</w:t>
      </w:r>
    </w:p>
    <w:p w:rsidR="00000000" w:rsidDel="00000000" w:rsidP="00000000" w:rsidRDefault="00000000" w:rsidRPr="00000000" w14:paraId="000000A2">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ao último mandado de citação, trata-se de um processo criminal ocasionado por um inquérito policial do ano de 2019, onde a sua e outras empresas foram investigadas por estarem cometendo crimes tributários, como a conduta disposta no art. 1º, inciso V, da Lei n. 8.137/90, que consiste no não fornecimento de notas fiscais relativas à venda de mercadorias ou serviços.</w:t>
      </w:r>
    </w:p>
    <w:p w:rsidR="00000000" w:rsidDel="00000000" w:rsidP="00000000" w:rsidRDefault="00000000" w:rsidRPr="00000000" w14:paraId="000000A3">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O consulente recorda-se de ser convocado à delegacia por várias vezes, nas quais não compareceu devido a compromissos inadiáveis ou viagens que não poderiam ser remarcadas. </w:t>
      </w:r>
    </w:p>
    <w:p w:rsidR="00000000" w:rsidDel="00000000" w:rsidP="00000000" w:rsidRDefault="00000000" w:rsidRPr="00000000" w14:paraId="000000A4">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Todavia, Márcio acredita genuinamente que não fornecer nota fiscal de suas mercadorias ou serviços não passava de uma irregularidade simples, por isso não deu a devida importância para as intimações da delegacia, visto desconhecer a situação como crime. Entretanto, o Promotor de Justiça solicita sua condenação.</w:t>
      </w:r>
    </w:p>
    <w:p w:rsidR="00000000" w:rsidDel="00000000" w:rsidP="00000000" w:rsidRDefault="00000000" w:rsidRPr="00000000" w14:paraId="000000A5">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é o relatório.</w:t>
      </w:r>
    </w:p>
    <w:p w:rsidR="00000000" w:rsidDel="00000000" w:rsidP="00000000" w:rsidRDefault="00000000" w:rsidRPr="00000000" w14:paraId="000000A6">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A7">
      <w:pPr>
        <w:spacing w:after="20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A8">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FUNDAMENTAÇÃO:</w:t>
      </w:r>
    </w:p>
    <w:p w:rsidR="00000000" w:rsidDel="00000000" w:rsidP="00000000" w:rsidRDefault="00000000" w:rsidRPr="00000000" w14:paraId="000000A9">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Indeferimento de candidatura e hipóteses de inelegibilidade:</w:t>
      </w:r>
    </w:p>
    <w:p w:rsidR="00000000" w:rsidDel="00000000" w:rsidP="00000000" w:rsidRDefault="00000000" w:rsidRPr="00000000" w14:paraId="000000AA">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primeiro modo devemos entender o que é inelegibilidade. Segundo Pedro Lenza (2022) “as inelegibilidades são as circunstâncias (constitucionais ou previstas em lei complementar) que impedem o cidadão do exercício total ou parcial da capacidade eleitoral passiva, ou seja, da capacidade de eleger-se”. Assim, inelegibilidade é o termo usado para quando um candidato que não tem condições de ser eleito. É o estado jurídico negativo da pessoa que não possui elegibilidade, seja por que nunca a teve ou por que a perdeu.</w:t>
      </w:r>
    </w:p>
    <w:p w:rsidR="00000000" w:rsidDel="00000000" w:rsidP="00000000" w:rsidRDefault="00000000" w:rsidRPr="00000000" w14:paraId="000000AB">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objetivo da elegibilidade do cidadão é proteger a probidade administrativa, a moralidade para o exercício do mandato, considerada a vida pregressa do candidato e a normalidade e legitimidade das eleições contra a influên­cia do poder econômico ou o abuso do exercício de função, cargo ou emprego na administração direta ou indireta, conforme dispõe o  § 9º, do art. 14, da Constituição Federal.</w:t>
      </w:r>
    </w:p>
    <w:p w:rsidR="00000000" w:rsidDel="00000000" w:rsidP="00000000" w:rsidRDefault="00000000" w:rsidRPr="00000000" w14:paraId="000000AC">
      <w:pPr>
        <w:spacing w:after="200" w:line="360" w:lineRule="auto"/>
        <w:jc w:val="both"/>
        <w:rPr>
          <w:rFonts w:ascii="Times New Roman" w:cs="Times New Roman" w:eastAsia="Times New Roman" w:hAnsi="Times New Roman"/>
          <w:i w:val="1"/>
          <w:sz w:val="21"/>
          <w:szCs w:val="21"/>
        </w:rPr>
      </w:pPr>
      <w:r w:rsidDel="00000000" w:rsidR="00000000" w:rsidRPr="00000000">
        <w:rPr>
          <w:rFonts w:ascii="Times New Roman" w:cs="Times New Roman" w:eastAsia="Times New Roman" w:hAnsi="Times New Roman"/>
          <w:sz w:val="24"/>
          <w:szCs w:val="24"/>
          <w:rtl w:val="0"/>
        </w:rPr>
        <w:tab/>
        <w:t xml:space="preserve">Para PADILHA (2020), a inelegibilidade é o impedimento relacionado à capacidade eleitoral passiva do indivíduo, o qual pode ser absoluto, quando se referir a todos os cargos eletivos, ou relativo, quando a restrição for para alguns cargos eletivos.</w:t>
      </w:r>
      <w:r w:rsidDel="00000000" w:rsidR="00000000" w:rsidRPr="00000000">
        <w:rPr>
          <w:rtl w:val="0"/>
        </w:rPr>
      </w:r>
    </w:p>
    <w:p w:rsidR="00000000" w:rsidDel="00000000" w:rsidP="00000000" w:rsidRDefault="00000000" w:rsidRPr="00000000" w14:paraId="000000AD">
      <w:pPr>
        <w:spacing w:after="240" w:before="240" w:line="360" w:lineRule="auto"/>
        <w:ind w:firstLine="566"/>
        <w:jc w:val="both"/>
        <w:rPr>
          <w:rFonts w:ascii="Times New Roman" w:cs="Times New Roman" w:eastAsia="Times New Roman" w:hAnsi="Times New Roman"/>
          <w:i w:val="1"/>
          <w:sz w:val="21"/>
          <w:szCs w:val="21"/>
        </w:rPr>
      </w:pPr>
      <w:r w:rsidDel="00000000" w:rsidR="00000000" w:rsidRPr="00000000">
        <w:rPr>
          <w:rFonts w:ascii="Times New Roman" w:cs="Times New Roman" w:eastAsia="Times New Roman" w:hAnsi="Times New Roman"/>
          <w:sz w:val="24"/>
          <w:szCs w:val="24"/>
          <w:rtl w:val="0"/>
        </w:rPr>
        <w:t xml:space="preserve">A inelegibilidade absoluta está relacionada às características pessoais, ampliando a todos os cargos eletivos. Apenas a Constituição Federal pode prever tais hipóteses, é o caso dos inalistáveis e os analfabetos (art. 14, § 4º). Segundo LENZA (2022), os inalistáveis são aqueles que não podem votar, portanto, não podem ser votados, é o caso dos estrangeiros e, durante o período do serviço militar obrigatório, os conscritos. No caso dos analfabetos, o alistamento e o voto são facultativos, pois enquanto permanecerem nessas condições somente terão capacidade eleitoral ativa.</w:t>
      </w:r>
      <w:r w:rsidDel="00000000" w:rsidR="00000000" w:rsidRPr="00000000">
        <w:rPr>
          <w:rtl w:val="0"/>
        </w:rPr>
      </w:r>
    </w:p>
    <w:p w:rsidR="00000000" w:rsidDel="00000000" w:rsidP="00000000" w:rsidRDefault="00000000" w:rsidRPr="00000000" w14:paraId="000000AE">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a inelegibilidade relativa corresponde a restrições para determinados cargos eletivos, em situações específicas no momento da eleição, seja por impossibilidade de disputa em razão da situação que se encontra (§§ 5º e 7º do art. 14), ou por submissão às condições estabelecidas pela norma (§§ 6º, 8º e 9º do art. 14).</w:t>
      </w:r>
    </w:p>
    <w:p w:rsidR="00000000" w:rsidDel="00000000" w:rsidP="00000000" w:rsidRDefault="00000000" w:rsidRPr="00000000" w14:paraId="000000AF">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5º O Presidente da República, os Governadores de Estado e do Distrito Federal, os Prefeitos e quem os houver sucedido, ou substituído no curso dos mandatos poderão ser reeleitos para um único período subseqüente</w:t>
      </w:r>
    </w:p>
    <w:p w:rsidR="00000000" w:rsidDel="00000000" w:rsidP="00000000" w:rsidRDefault="00000000" w:rsidRPr="00000000" w14:paraId="000000B0">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6º Para concorrerem a outros cargos, o Presidente da República, os Governadores de Estado e do Distrito Federal e os Prefeitos devem renunciar aos respectivos mandatos até seis meses antes do pleito.</w:t>
      </w:r>
    </w:p>
    <w:p w:rsidR="00000000" w:rsidDel="00000000" w:rsidP="00000000" w:rsidRDefault="00000000" w:rsidRPr="00000000" w14:paraId="000000B1">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7º 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B2">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8º O militar alistável é elegível, atendidas as seguintes condições:</w:t>
      </w:r>
    </w:p>
    <w:p w:rsidR="00000000" w:rsidDel="00000000" w:rsidP="00000000" w:rsidRDefault="00000000" w:rsidRPr="00000000" w14:paraId="000000B3">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se contar menos de dez anos de serviço, deverá afastar-se da atividade;</w:t>
      </w:r>
    </w:p>
    <w:p w:rsidR="00000000" w:rsidDel="00000000" w:rsidP="00000000" w:rsidRDefault="00000000" w:rsidRPr="00000000" w14:paraId="000000B4">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se contar mais de dez anos de serviço, será agregado pela autoridade superior e, se eleito, passará automaticamente, no ato da diplomação, para a inatividade.</w:t>
      </w:r>
    </w:p>
    <w:p w:rsidR="00000000" w:rsidDel="00000000" w:rsidP="00000000" w:rsidRDefault="00000000" w:rsidRPr="00000000" w14:paraId="000000B5">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9º Lei complementar estabelecerá outros casos de inelegibilidade e os prazos de sua cessação, a fim de proteger a probidade administrativa, a moralidade para exercício de mandato considerada vida pregressa do candidato, e a normalidade e legitimidade das eleições contra a influência do poder econômico ou o abuso do exercício de função, cargo ou emprego na administração direta ou indireta. </w:t>
      </w:r>
    </w:p>
    <w:p w:rsidR="00000000" w:rsidDel="00000000" w:rsidP="00000000" w:rsidRDefault="00000000" w:rsidRPr="00000000" w14:paraId="000000B6">
      <w:pPr>
        <w:spacing w:after="0" w:line="240"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MOTTA (2021), elenca como inelegibilidade relativa às hipóteses por motivos funcionais, parentesco, militar e situações previstas pela lei complementar.</w:t>
      </w:r>
    </w:p>
    <w:p w:rsidR="00000000" w:rsidDel="00000000" w:rsidP="00000000" w:rsidRDefault="00000000" w:rsidRPr="00000000" w14:paraId="000000B8">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motivos funcionais são impedimentos para o mesmo cargo ou para outros cargos. O § 5º do art. 14, com a redação dada pela Emenda Constitucional nº 16/97,</w:t>
      </w:r>
      <w:r w:rsidDel="00000000" w:rsidR="00000000" w:rsidRPr="00000000">
        <w:rPr>
          <w:rFonts w:ascii="Times New Roman" w:cs="Times New Roman" w:eastAsia="Times New Roman" w:hAnsi="Times New Roman"/>
          <w:sz w:val="30"/>
          <w:szCs w:val="30"/>
          <w:rtl w:val="0"/>
        </w:rPr>
        <w:t xml:space="preserve"> </w:t>
      </w:r>
      <w:r w:rsidDel="00000000" w:rsidR="00000000" w:rsidRPr="00000000">
        <w:rPr>
          <w:rFonts w:ascii="Times New Roman" w:cs="Times New Roman" w:eastAsia="Times New Roman" w:hAnsi="Times New Roman"/>
          <w:sz w:val="24"/>
          <w:szCs w:val="24"/>
          <w:rtl w:val="0"/>
        </w:rPr>
        <w:t xml:space="preserve">prevê a possibilidade de reeleição dos Chefes dos Executivos Federal, Estadual, Distrital e Municipal para um único período subsequente, portanto aqueles que houverem sucedido ou substituído dentro de um mandato não poderão ser reeleitos para um terceiro mandato, porém se houver um intervalo de uma legislatura, poderão se reeleger para uma novo mandato. Dispõe o § 6º , que os chefes do Poder Executivo que desejarem se eleger para outros  cargos devem renunciar seus respectivos mandatos até seis meses antes da eleição, ocorre, portanto, a desincompatibilização, isto é, o afastamento de seu cargo, porém para o mesmo cargo não é necessário a desincompatibilização. Também há impedimento para se candidatura no segundo mandato como vice, pois pode ocorrer situações em que o vice precise assumir o cargo como chefe, o que acarretaria em um terceiro mandato. </w:t>
      </w:r>
    </w:p>
    <w:p w:rsidR="00000000" w:rsidDel="00000000" w:rsidP="00000000" w:rsidRDefault="00000000" w:rsidRPr="00000000" w14:paraId="000000B9">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o artigo 14, parágrafo 7º são inelegíveis , dentro da mesma circunscrição, os cônjuges, parentes consanguíneos ou afins até o segundo grau dos chefes do  Poder Executivo. É chamada de inelegibilidade reflexa.</w:t>
      </w:r>
    </w:p>
    <w:p w:rsidR="00000000" w:rsidDel="00000000" w:rsidP="00000000" w:rsidRDefault="00000000" w:rsidRPr="00000000" w14:paraId="000000BA">
      <w:pPr>
        <w:spacing w:after="240" w:before="240"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ART. 14 § 7º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r w:rsidDel="00000000" w:rsidR="00000000" w:rsidRPr="00000000">
        <w:rPr>
          <w:rFonts w:ascii="Times New Roman" w:cs="Times New Roman" w:eastAsia="Times New Roman" w:hAnsi="Times New Roman"/>
          <w:i w:val="1"/>
          <w:sz w:val="20"/>
          <w:szCs w:val="20"/>
          <w:rtl w:val="0"/>
        </w:rPr>
        <w:t xml:space="preserve">.</w:t>
      </w:r>
      <w:r w:rsidDel="00000000" w:rsidR="00000000" w:rsidRPr="00000000">
        <w:rPr>
          <w:rtl w:val="0"/>
        </w:rPr>
      </w:r>
    </w:p>
    <w:p w:rsidR="00000000" w:rsidDel="00000000" w:rsidP="00000000" w:rsidRDefault="00000000" w:rsidRPr="00000000" w14:paraId="000000BB">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regra é que parentes do Presidente da República, dos governadores, e dos prefeitos são impedidos de se eleger para cargos na mesma jurisdição ou jurisdição menor. Segundo PADILHA (2020), os parentes membros do Poder Legislativo não causam inelegibilidade, e quem já exerce um mandato pode se reeleger. Entretanto, em se tratando de grau de parentesco com o Governador, há inelegibilidade para os cargos de Deputado Federal e Senador, pelo mesmo Estado.</w:t>
      </w:r>
    </w:p>
    <w:p w:rsidR="00000000" w:rsidDel="00000000" w:rsidP="00000000" w:rsidRDefault="00000000" w:rsidRPr="00000000" w14:paraId="000000BC">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caso do militar, apesar de possuírem a capacidade passiva, o art. 142, § 3º, inciso V, da Constituição, proíbe a filiação a partidos políticos enquanto estiverem prestando serviço. O  art. 14, § 8.º, do mesmo diploma legal, estabelece que o militar só poderá se eleger se, com menos de dez anos de serviço se afastarem da atividade e se houver mais de dez anos de serviço, será afastado e, se eleito, passará automaticamente, no ato da diplomação, para a inatividade.</w:t>
      </w:r>
    </w:p>
    <w:p w:rsidR="00000000" w:rsidDel="00000000" w:rsidP="00000000" w:rsidRDefault="00000000" w:rsidRPr="00000000" w14:paraId="000000BD">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Somente a Lei Complementar n. 64/94, pode prever outros casos de inelegibilidade, bem como os prazos para sua cessão, para proteger a probidade administrativa, a moralidade para o exercício do mandato, considerada a vida pregressa do candidato e a normalidade e legitimidade das eleições contra a influên­cia do poder econômico ou o abuso do exercício de função, cargo ou emprego na administração direta ou indireta (art. 14, § 9º, CF).</w:t>
      </w:r>
    </w:p>
    <w:p w:rsidR="00000000" w:rsidDel="00000000" w:rsidP="00000000" w:rsidRDefault="00000000" w:rsidRPr="00000000" w14:paraId="000000BE">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art. 14, §§ 10 e 11 da Constituição, prevê a possibilidade da ação de impugnação de mandato eletivo.</w:t>
      </w:r>
    </w:p>
    <w:p w:rsidR="00000000" w:rsidDel="00000000" w:rsidP="00000000" w:rsidRDefault="00000000" w:rsidRPr="00000000" w14:paraId="000000BF">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10. O mandato eletivo poderá ser impugnado ante a Justiça Eleitoral no prazo de quinze dias contados da diplomação, instruída a ação com provas de abuso do poder econômico, corrupção ou fraude.</w:t>
      </w:r>
    </w:p>
    <w:p w:rsidR="00000000" w:rsidDel="00000000" w:rsidP="00000000" w:rsidRDefault="00000000" w:rsidRPr="00000000" w14:paraId="000000C0">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11. A ação de impugnação de mandato tramitará em segredo de justiça, respondendo o autor, na forma da lei, se temerária ou de manifesta má-fé.</w:t>
      </w:r>
    </w:p>
    <w:p w:rsidR="00000000" w:rsidDel="00000000" w:rsidP="00000000" w:rsidRDefault="00000000" w:rsidRPr="00000000" w14:paraId="000000C1">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impugnação da candidatura, ocorre quando o candidato não está “apto” a concorrer às eleições, pois ele não cumpriu as exigências de elegibilidade prevista na constituição e na legislação eleitoral, ou seja, ele não pode ser eleito se tiver menos de 16 anos, for analfabeto, ou em caso tente uma segunda reeleição, o político, pode ainda ficar afastado das eleições por 8 anos se for enquadrado na lei da ficha limpa, isso inclui renunciar ao cargo para fugir de condenação e cometer crimes como lavagem de dinheiro e ocultação de bens. Segundo MOTTA (2021), os legitimados à propositura da ação de impugnação da candidatura são: o Ministério Público, os partidos políticos, as coligações e os qualquer  candidato, sendo de competência da Justiça Eleitoral julgar.</w:t>
      </w:r>
    </w:p>
    <w:p w:rsidR="00000000" w:rsidDel="00000000" w:rsidP="00000000" w:rsidRDefault="00000000" w:rsidRPr="00000000" w14:paraId="000000C2">
      <w:pPr>
        <w:spacing w:after="240" w:before="240" w:line="360" w:lineRule="auto"/>
        <w:ind w:firstLine="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Quando se tratar de inelegibilidades constitucionais a impugnação deve ser no momento em que for requerido o registro da candidatura ou no recurso contra a expedição do certificado. No entanto, se for a respeito de inelegibilidade infraconstitucional, devem ser arguidas no momento da candidatura.</w:t>
      </w:r>
    </w:p>
    <w:p w:rsidR="00000000" w:rsidDel="00000000" w:rsidP="00000000" w:rsidRDefault="00000000" w:rsidRPr="00000000" w14:paraId="000000C3">
      <w:pPr>
        <w:spacing w:after="240" w:before="240" w:line="360" w:lineRule="auto"/>
        <w:ind w:firstLine="566"/>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Pois bem, em análise ao caso do consulente, trata-se de causa de inelegibilidade relativa, pois a norma prevê o impedimento, na mesma jurisdição do titular, por grau de parentesco. Quanto a isso o entendimento da jurisprudência é no seguinte sentido:</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C4">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INELEGIBILIDADE - Ocorrência - Eleição municipal - Prefeito, candidato à reeleição, e seu filho que disputam o mesmo cargo eletivo - Rivalidade entre os adversários políticos que não afasta a vedação legal em razão do parentesco consanguíneo - Critério objetivo da norma que não admite interpretação subjetiva - Inteligência do art. 14, § 7.º, da CF/1988. Entende-se que neste caso existe a proibição de parentes até segundo grau, ou seja em caso de um pai estar eleito como governador o filho não poderá ser Deputado Federal. 1. A alegação de existência de rivalidade entre o recorrente, candidato a prefeito, e o atual Chefe do Executivo da localidade, aspirante à reeleição e genitor do pretenso candidato, não afasta a inelegibilidade constitucional, uma vez que o critério da norma é objetivo. Precedentes. 2. Recurso especial desprovido (TSE - REsp Eleitoral 140-71.2012.6.26.0134 - j. 20/9/2012 - m.v. - julgado por Dias Toffoli - DJe 20/9/2012)</w:t>
      </w:r>
    </w:p>
    <w:p w:rsidR="00000000" w:rsidDel="00000000" w:rsidP="00000000" w:rsidRDefault="00000000" w:rsidRPr="00000000" w14:paraId="000000C5">
      <w:pPr>
        <w:spacing w:after="200" w:line="360" w:lineRule="auto"/>
        <w:ind w:firstLine="8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Entende-se que neste caso existe a proibição de parentes até segundo grau, ou seja, em caso de um pai ser eleito como governador o filho não poderá ser Deputado Federal.</w:t>
      </w:r>
    </w:p>
    <w:p w:rsidR="00000000" w:rsidDel="00000000" w:rsidP="00000000" w:rsidRDefault="00000000" w:rsidRPr="00000000" w14:paraId="000000C6">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CONSTITUCIONAL. ELEITORAL. RECURSO EXTRAORDINÁRIO. REPERCUSSÃO GERAL. PREFEITO AFASTADO POR DECISÃO DO TRE. ELEIÇÃO SUPLEMENTAR. PRAZO DE INELEGIBILIDADE. ART. 14, § 7º, DA CONSTITUIÇÃO FEDERAL. APLICAÇÃO. 1. As hipóteses de inelegibilidade previstas no art. 14, § 7º, da Constituição Federal, inclusive quanto ao prazo de seis meses, são aplicáveis às eleições suplementares. Eleição suplementar marcada para menos de seis meses do afastamento do prefeito por irregularidades. 2. Recurso improvido. (STF - RE 843.455 - Plenário - j. 7/10/2015 - julgado por Teori Albino Zavascki)</w:t>
      </w:r>
    </w:p>
    <w:p w:rsidR="00000000" w:rsidDel="00000000" w:rsidP="00000000" w:rsidRDefault="00000000" w:rsidRPr="00000000" w14:paraId="000000C7">
      <w:pPr>
        <w:shd w:fill="ffffff" w:val="clear"/>
        <w:spacing w:after="100" w:before="100" w:line="261" w:lineRule="auto"/>
        <w:ind w:firstLine="708"/>
        <w:jc w:val="both"/>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C8">
      <w:pPr>
        <w:shd w:fill="ffffff" w:val="clear"/>
        <w:spacing w:after="100" w:before="100" w:line="360" w:lineRule="auto"/>
        <w:ind w:firstLine="708"/>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Conforme o exposto, a inelegibilidade aplicada foi embasada pelo parágrafo sete do artigo 14 da Constituição Federal, ocasionando no afastamento do prefeito.</w:t>
      </w:r>
      <w:r w:rsidDel="00000000" w:rsidR="00000000" w:rsidRPr="00000000">
        <w:rPr>
          <w:rtl w:val="0"/>
        </w:rPr>
      </w:r>
    </w:p>
    <w:p w:rsidR="00000000" w:rsidDel="00000000" w:rsidP="00000000" w:rsidRDefault="00000000" w:rsidRPr="00000000" w14:paraId="000000C9">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REGIMENTAL EM RECURSO EXTRAORDINÁRIO. CONSTITUCIONAL. ELEITORAL. CAUSA DE INELEGIBILIDADE. VEDAÇÃO AO EXERCÍCIO DE TERCEIRO MANDATO ELETIVO PARA CARGO DE CHEFIA DO PODER EXECUTIVO PELO MESMO GRUPO FAMILIAR. REGIME JURÍDICO DAS INELEGIBILIDADES. INTERPRETAÇÃO CONSTRUTIVA. POSSIBILIDADE. PRECEDENTES. ADOÇÃO DE CRITÉRIOS OBJETIVOS PARA CONFIGURAÇÃO DO TERCEIRO MANDATO DO MESMO GRUPO FAMILIAR. SEGURANÇA JURÍDICA NO PROCESSO ELEITORAL. AGRAVO A QUE SE NEGA PROVIMENTO. I – A jurisprudência do Supremo Tribunal Federal entende ser legítima a “interpretação construtiva” das causas de inelegibilidade constantes na Constituição Federal, quando amparada pelo Princípio Republicano da alternância no Poder. Precedentes. II – A aplicação da causa de inelegibilidade da vedação ao exercício de terceiro mandato eletivo para o cargo de chefia do Poder Executivo pelo mesmo grupo familiar exige a adoção de critérios objetivos para sua aferição, bastando, para tanto, a verificação do vínculo familiar, nos termos do art. 14, § 7°, da CF/1988, independentemente da ocorrência de separação conjugal, falecimento, ou outras possibilidades supervenientes à posse do primeiro familiar na chefia do Poder Executivo, de modo a conferir maior segurança jurídica ao processo eleitoral no momento do registro de candidaturas. III – As causas de natureza eleitoral são isentas da fixação de custas ou honorários por serem necessárias ao exercício da cidadania (art. 5°, LXXVII, da CF/1988). IV – Agravo regimental a que se nega provimento. (STF - AgRg no RE 1.028.577 - 2.ª Turma - j. 19/3/2019 - julgado por Enrique Ricardo Lewandowski - DJe 1/4/2019)</w:t>
      </w:r>
    </w:p>
    <w:p w:rsidR="00000000" w:rsidDel="00000000" w:rsidP="00000000" w:rsidRDefault="00000000" w:rsidRPr="00000000" w14:paraId="000000CA">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shd w:fill="ffffff" w:val="clear"/>
        <w:spacing w:after="100" w:before="1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Um dos motivos da decisão acima, foi o vínculo familiar que coloca em risco a segurança no processo eleitoral, ocasionando no indeferimento da candidatura para o terceiro mandato.</w:t>
      </w:r>
    </w:p>
    <w:p w:rsidR="00000000" w:rsidDel="00000000" w:rsidP="00000000" w:rsidRDefault="00000000" w:rsidRPr="00000000" w14:paraId="000000CC">
      <w:pPr>
        <w:shd w:fill="ffffff" w:val="clear"/>
        <w:spacing w:after="100" w:before="1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concluímos que a comissão partidária está correta em impugnar a candidatura do consulente, visto que se trata de inele</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gibilidade reflexa, pois a norma dispõe que o Chefe do poder executivo torna inelegível os parentes consanguíneos ou afins até o segundo grau, na mesma circunscrição ou menor, porém em se</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 tratando do cargo de Deputado Federal e Senador, há impedimento se forem parentes do Governador. Portanto, como seu pai pretende se reeleger para o cargo de Governador, Márcio não poderá se candidatar a Deputado Federal para este mandato.</w:t>
      </w:r>
    </w:p>
    <w:p w:rsidR="00000000" w:rsidDel="00000000" w:rsidP="00000000" w:rsidRDefault="00000000" w:rsidRPr="00000000" w14:paraId="000000CD">
      <w:pPr>
        <w:spacing w:after="200" w:line="360" w:lineRule="auto"/>
        <w:ind w:firstLine="720"/>
        <w:jc w:val="both"/>
        <w:rPr>
          <w:rFonts w:ascii="Verdana" w:cs="Verdana" w:eastAsia="Verdana" w:hAnsi="Verdana"/>
          <w:color w:val="505050"/>
          <w:sz w:val="20"/>
          <w:szCs w:val="20"/>
          <w:highlight w:val="white"/>
        </w:rPr>
      </w:pPr>
      <w:r w:rsidDel="00000000" w:rsidR="00000000" w:rsidRPr="00000000">
        <w:rPr>
          <w:rtl w:val="0"/>
        </w:rPr>
      </w:r>
    </w:p>
    <w:p w:rsidR="00000000" w:rsidDel="00000000" w:rsidP="00000000" w:rsidRDefault="00000000" w:rsidRPr="00000000" w14:paraId="000000CE">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 Depoimento pessoal:</w:t>
      </w:r>
    </w:p>
    <w:p w:rsidR="00000000" w:rsidDel="00000000" w:rsidP="00000000" w:rsidRDefault="00000000" w:rsidRPr="00000000" w14:paraId="000000CF">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O depoimento pessoal é um meio prova com a finalidade de provocar a confissão da parte e esclarecer fatos discutidos na causa. Ocorre o depoimento pessoal na audiência de instrução e julgamento e não se confunde com o interrogatório livre, que pode ser a qualquer momento no processo, cujo objetivo é interrogar a parte sobre os fatos da causa que ainda se encontram confusos, no entanto, não obterá uma confissão THEODORO JÚNIOR (2022).</w:t>
      </w:r>
    </w:p>
    <w:p w:rsidR="00000000" w:rsidDel="00000000" w:rsidP="00000000" w:rsidRDefault="00000000" w:rsidRPr="00000000" w14:paraId="000000D0">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Determina o art. 385, do CPC, que o depoimento pessoal deve ser requerido pela parte ou de ofício pelo juiz.</w:t>
      </w:r>
    </w:p>
    <w:p w:rsidR="00000000" w:rsidDel="00000000" w:rsidP="00000000" w:rsidRDefault="00000000" w:rsidRPr="00000000" w14:paraId="000000D1">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0D2">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DONIZETTI (2017), o depoimento pessoal requerido de ofício pelo juiz trata-se do interrogatório, o qual não gera consequências negativas à parte que não depor, podendo ocorrer a confissão, porém não possui este objetivo.</w:t>
      </w:r>
    </w:p>
    <w:p w:rsidR="00000000" w:rsidDel="00000000" w:rsidP="00000000" w:rsidRDefault="00000000" w:rsidRPr="00000000" w14:paraId="000000D4">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parte não poderá requerer seu próprio depoimento e quanto a pessoa do depoente, pode ser pessoa física ou jurídica, exigido desta última que seja o representante legal ou preposto que tenha conhecimento dos fatos e poderes especiais para confessar. O depoimento pessoal é requerido na inicial, na contestação ou no momento da especificação de provas, porém será somente realizado na audiência de instrução e julgamento (GONÇALVES, 2022).</w:t>
      </w:r>
    </w:p>
    <w:p w:rsidR="00000000" w:rsidDel="00000000" w:rsidP="00000000" w:rsidRDefault="00000000" w:rsidRPr="00000000" w14:paraId="000000D5">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 1º do artigo supracitado, determina que “se a parte, pessoalmente intimada para prestar depoimento pessoal e advertida da pena de confesso, não comparecer ou, comparecendo, se recusar a depor, o juiz aplicar-lhe-á a pena”. Portanto, na ausência de comparecimento injustificado ou na recusa a depor, isto é, sem motivo justificado, deixar de responder ao que lhe for perguntado ou empregar evasivas (art. 386)</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haverá presunção de veracidade quanto aos fatos alegados pelo adversário.</w:t>
      </w:r>
    </w:p>
    <w:p w:rsidR="00000000" w:rsidDel="00000000" w:rsidP="00000000" w:rsidRDefault="00000000" w:rsidRPr="00000000" w14:paraId="000000D6">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Dispõe o § 3º que o depoente que residir em comarca divergência de onde tramita o processo, o depoimento pessoal poderá ser colhido por meio de videoconferência ou outro meios de comunicação audiovisual em tempo real.</w:t>
      </w:r>
    </w:p>
    <w:p w:rsidR="00000000" w:rsidDel="00000000" w:rsidP="00000000" w:rsidRDefault="00000000" w:rsidRPr="00000000" w14:paraId="000000D7">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Nota-se ainda, que além da disposição do CPC/2015 sobre o uso da videoconferência e outros meios de transmissão em tempo real, já havia a Lei n. 11.419/2006 regulamentando  a informatização do processo judicial, bem como a Resolução 105/2010 no que diz respeito à documentação dos depoimentos por meio do sistema audiovisual e realização de interrogatório e inquirição de testemunhas por videoconferência.</w:t>
      </w:r>
    </w:p>
    <w:p w:rsidR="00000000" w:rsidDel="00000000" w:rsidP="00000000" w:rsidRDefault="00000000" w:rsidRPr="00000000" w14:paraId="000000D8">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a evolução da tecnologia, grande parte da população passou a fazer uso de aplicativos que permitem a transmissão de sons e imagens em tempo real e em qualquer parte do mundo, os mais utilizados pelo judiciário são: WhatsApp, Telegram, Zoom e Skype. Ademais, durante o surto da COVID-19, o Conselho Nacional de Justiça (CNJ) disponibilizou uma Plataforma Emergencial de Videoconferência para a realização dos atos processuais, na qual as partes acessavam através de um link recebido por e-mail criado pelo magistrado.</w:t>
      </w:r>
    </w:p>
    <w:p w:rsidR="00000000" w:rsidDel="00000000" w:rsidP="00000000" w:rsidRDefault="00000000" w:rsidRPr="00000000" w14:paraId="000000D9">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o art. 1°, da Resolução n. 341/2020, do CNJ, ainda vigente, “os tribunais deverão disponibilizar salas para a realização de atos processuais, especialmente depoimentos de partes, testemunhas e outros colaboradores da justiça por sistema de videoconferência em todos os fóruns, garantindo a adequação dos meios tecnológicos aptos a dar efetividade ao disposto no art. 7º do Código de Processo Civil.”. Nesse sentido se alinha o Tribunal de Justiça do Distrito Federal:</w:t>
      </w:r>
    </w:p>
    <w:p w:rsidR="00000000" w:rsidDel="00000000" w:rsidP="00000000" w:rsidRDefault="00000000" w:rsidRPr="00000000" w14:paraId="000000DA">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PROCESSUAL CIVIL. AGRAVO DE INSTRUMENTO. EMBARGOS DE TERCEIROS. AUDIÊNCIA PRESENCIAL. IMPOSSIBILIDADE TECNOLÓGICA SUSCITADA PELA PARTE. NÃO CABIMENTO. IMPLEMENTAÇÃO DE SALAS PASSIVAS. VIABILIDADE DA AUDIÊNCIA POR VIDEOCONFERÊNCIA. RECURSO NÃO PROVIDO. 1. É possível a realização de audiência por meio de videoconferência, em salas passivas no Fórum, nos termos da Portaria Conjunta 45 de 28/05/2021, deste TJDFT, cujos espaços são “reservados para a realização de atos processuais por meio de videoconferência, especialmente depoimentos e audiências em geral”, ante a impossibilidade tecnológica suscitada pela parte. 2. Recurso conhecido e não provido (TJDF - Processo 07336959720218070000 - 7.ª Turma - j. 10/8/2022 - julgado por Cruz Macedo - DJFe 5/9/2022).</w:t>
      </w:r>
    </w:p>
    <w:p w:rsidR="00000000" w:rsidDel="00000000" w:rsidP="00000000" w:rsidRDefault="00000000" w:rsidRPr="00000000" w14:paraId="000000DB">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shd w:fill="ffffff" w:val="clear"/>
        <w:spacing w:after="100" w:before="1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As partes no caso em análise manifestaram a impossibilidade tecnológica para participação da audiência por meio virtual requerendo que a audiência fosse de forma presencial, no entanto, com a disponibilização de salas para a realização de audiências por videoconferência, o tribunal negou provimento por unanimidade.</w:t>
      </w:r>
    </w:p>
    <w:p w:rsidR="00000000" w:rsidDel="00000000" w:rsidP="00000000" w:rsidRDefault="00000000" w:rsidRPr="00000000" w14:paraId="000000DD">
      <w:pPr>
        <w:shd w:fill="ffffff" w:val="clear"/>
        <w:spacing w:after="100" w:before="1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a validade da audiência semipresencial tem julgado o Tribunal Regional do Trabalho da 2ª Região:</w:t>
      </w:r>
    </w:p>
    <w:p w:rsidR="00000000" w:rsidDel="00000000" w:rsidP="00000000" w:rsidRDefault="00000000" w:rsidRPr="00000000" w14:paraId="000000DE">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AUDIÊNCIA DE INSTRUÇÃO TELEPRESENCIAL. OPOSIÇÃO DA PARTE. RESOLUÇÃO GP/CR 03/2020. AUTORIZAÇÃO DE AUDIÊNCIA SEMIPRESENCIAL OU PRESENCIAL. VIOLAÇÃO DE DIREITO LÍQUIDO E CERTO. SEGURANÇA PARCIALMENTE CONCEDIDA. Tratando-se de audiência por videoconferência, não se pode aplicar as normas da CLT sem observar as especificidades do ato, sendo que as resoluções do CNJ e do CSJT dispõem expressamente ser vedada a atribuição de responsabilidade aos advogados e procuradores em providenciarem o comparecimento de partes e testemunhas a qualquer localidade fora de prédios oficiais do Poder Judiciário para participação em atos virtuais, ou seja, nessa modalidade especial, é atribuição exclusiva do Juízo a intimação das partes e testemunhas. Ainda, desde 19/10/2020 está autorizada a realização de audiência semipresencial ou presencial, conforme Resolução GP/CR nº 03/2020 deste Tribunal Regional. Segurança parcialmente concedida (TRT-2.ª Reg. - MS 1001014-88.2021.5.02.0000 - 3.ª Seção Especializada em Dissídios Individuais - j. 4/5/2022 - julgado por Alcina M. F. Beres - DEJT 4/5/2022).</w:t>
      </w:r>
    </w:p>
    <w:p w:rsidR="00000000" w:rsidDel="00000000" w:rsidP="00000000" w:rsidRDefault="00000000" w:rsidRPr="00000000" w14:paraId="000000DF">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0">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Um dos motivos da decisão acima, foi a discordância da impetrante sobre a realização de audiência por meio telepresencial já determinada em decisão. A impetrante alegou que a audiência de forma virtual poderia gerar descredibilidade dos depoimentos prestados, pois o Juízo não tinha condições de assegurar a incomunicabilidade dos depoentes. Além disso, aduziu ainda, que a obrigatoriedade da realização de audiência telepresencial violava a segurança jurídica e o devido processo legal, cabendo portanto, mas a anulação da decisão. Entretanto, os magistrados da seção decidiram por maioria, a realização de audiência semipresencial ou presencial, pois é uma prática reconhecida legalmente e não ofende o direito líquido e certo.</w:t>
      </w:r>
    </w:p>
    <w:p w:rsidR="00000000" w:rsidDel="00000000" w:rsidP="00000000" w:rsidRDefault="00000000" w:rsidRPr="00000000" w14:paraId="000000E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2005 já prevalecia o entendimento no Superior Tribunal de Justiça no sentido de que a parte intimada a prestar depoimento pessoal, tendo residência em comarca diversa de onde tramita o processo, não é obrigada a comparecer pessoalmente.</w:t>
      </w:r>
    </w:p>
    <w:p w:rsidR="00000000" w:rsidDel="00000000" w:rsidP="00000000" w:rsidRDefault="00000000" w:rsidRPr="00000000" w14:paraId="000000E2">
      <w:pPr>
        <w:shd w:fill="ffffff" w:val="clear"/>
        <w:spacing w:after="100" w:before="1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AUDIÊNCIA DE INSTRUÇÃO E JULGAMENTO. DEPOIMENTO PESSOAL. RÉUS RESIDENTES FORA DA COMARCA. PENA DE CONFISSÃO. PRESUNÇÃO RELATIVA.- A parte, intimada a prestar depoimento pessoal, não está obrigada a comparecer perante o Juízo diverso daquele em que reside.- A pena de confissão não gera presunção absoluta, de forma a excluir a apreciação do Juiz acerca de outros elementos probatórios. Prematura, assim, a decisão do Magistrado que, declarada encerrada desde logo a instrução, dispensa a oitiva das testemunhas arroladas. Recurso especial não conhecido (STJ - REsp 161.438 - j. 6/10/2005 - julgado por Barros Monteiro).</w:t>
      </w:r>
    </w:p>
    <w:p w:rsidR="00000000" w:rsidDel="00000000" w:rsidP="00000000" w:rsidRDefault="00000000" w:rsidRPr="00000000" w14:paraId="000000E3">
      <w:pPr>
        <w:shd w:fill="ffffff" w:val="clea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4">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 turma, por unanimidade, não conheceu do recurso que se pretendia. A decisão faz referência ao agravo de instrumento, no qual o tribunal deu provimento para anular o processo, pois a decisão originária havia aplicado pena de confesso por ausência do depoente na audiência de instrução, no entanto a parte residia em outra localidade.</w:t>
      </w:r>
    </w:p>
    <w:p w:rsidR="00000000" w:rsidDel="00000000" w:rsidP="00000000" w:rsidRDefault="00000000" w:rsidRPr="00000000" w14:paraId="000000E5">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leitura à esta decisão do STJ, constou no voto que a jurisprudência dominante entendia que a parte intimada a realizar o depoimento pessoal, residente em outra comarca, não era obrigada a comparecer no juízo da causa. Além disso, constou ainda, a citação de Alexandre de Paula, em sua obra “Repertório de Jurisprudência do Código de Processo Civil Brasileiro”, no sentido de que a parte não deveria ser constrangida a viagens onerosas para ser ouvida, poderia, portanto, prestar seu depoimento por meio de carta precatória.</w:t>
      </w:r>
    </w:p>
    <w:p w:rsidR="00000000" w:rsidDel="00000000" w:rsidP="00000000" w:rsidRDefault="00000000" w:rsidRPr="00000000" w14:paraId="000000E6">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foi visto anteriormente, o avanço da tecnologia permitiu ao judiciário promover novos mecanismos para a colheita do depoimento pessoal das partes. Verifica-se, contudo, que o uso dos meios de comunicação em tempo real tem se tornado uma prática comum dentro dos Tribunais, visto que traz menos custo e mais praticidade para os envolvidos e, principalmente, maior acesso do cidadão à justiça.</w:t>
      </w:r>
    </w:p>
    <w:p w:rsidR="00000000" w:rsidDel="00000000" w:rsidP="00000000" w:rsidRDefault="00000000" w:rsidRPr="00000000" w14:paraId="000000E7">
      <w:pPr>
        <w:spacing w:after="200" w:line="360" w:lineRule="auto"/>
        <w:ind w:firstLine="720"/>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Assim, conforme a análise realizada e considerando que o consulente reside na cidade de São Paulo, entende-se que sua presença física para colheita do depoimento pessoal na audiência do processo de cobrança dos aluguéis na cidade de Mogi das Cruzes, não é obrigatória, podendo ser realizado por meio de videoconferência.</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E8">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Desconsideração da personalidade jurídica:</w:t>
      </w:r>
    </w:p>
    <w:p w:rsidR="00000000" w:rsidDel="00000000" w:rsidP="00000000" w:rsidRDefault="00000000" w:rsidRPr="00000000" w14:paraId="000000EA">
      <w:pPr>
        <w:spacing w:after="200" w:line="360" w:lineRule="auto"/>
        <w:ind w:firstLine="708"/>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A princípio, devemos entender o que é personalidade jurídica: pessoas jurídicas, assim que constituídas, adquirem nome próprio, endereço físico, nacionalidade, e são aptas a estar em juízo, possuindo vida completamente autônoma. (PEREIRA, 2019)</w:t>
      </w:r>
      <w:r w:rsidDel="00000000" w:rsidR="00000000" w:rsidRPr="00000000">
        <w:rPr>
          <w:rtl w:val="0"/>
        </w:rPr>
      </w:r>
    </w:p>
    <w:p w:rsidR="00000000" w:rsidDel="00000000" w:rsidP="00000000" w:rsidRDefault="00000000" w:rsidRPr="00000000" w14:paraId="000000EB">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Acerca da autonomia conferida às pessoas jurídicas, seus poderes não poderão ser utilizados como meio para atos ilícitos a terceiros, nem de forma abusiva ou prejudicial. Para esta fiscalização, o ordenamento jurídico conta com as normas que prescrevem as sanções negativas. (ANDRADE FILHO) </w:t>
      </w:r>
    </w:p>
    <w:p w:rsidR="00000000" w:rsidDel="00000000" w:rsidP="00000000" w:rsidRDefault="00000000" w:rsidRPr="00000000" w14:paraId="000000EC">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desconsideração da personalidade jurídica é uma ferramenta jurídica utilizada quando deseja-se alcançar os bens particulares do sócio para responder às obrigações de débitos. Exposta no artigo 50 do código civil: </w:t>
      </w:r>
    </w:p>
    <w:p w:rsidR="00000000" w:rsidDel="00000000" w:rsidP="00000000" w:rsidRDefault="00000000" w:rsidRPr="00000000" w14:paraId="000000ED">
      <w:pPr>
        <w:spacing w:after="200" w:line="36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r w:rsidDel="00000000" w:rsidR="00000000" w:rsidRPr="00000000">
        <w:rPr>
          <w:rtl w:val="0"/>
        </w:rPr>
      </w:r>
    </w:p>
    <w:p w:rsidR="00000000" w:rsidDel="00000000" w:rsidP="00000000" w:rsidRDefault="00000000" w:rsidRPr="00000000" w14:paraId="000000EE">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tal aspecto, merece ser trazido à baila o excelente magistério de Manoel Carpena Amorim (1999), in verbis: </w:t>
      </w:r>
    </w:p>
    <w:p w:rsidR="00000000" w:rsidDel="00000000" w:rsidP="00000000" w:rsidRDefault="00000000" w:rsidRPr="00000000" w14:paraId="000000EF">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doutrina da desconsideração foi desenvolvida pelos tribunais para impedir o abuso por meio de uso indevido da personalidade jurídica. (…) O abuso da pessoa jurídica é possível, precisamente, graças ao caráter instrumental que tem o reconhecimento da personalidade jurídica, como indivíduos por si sós não poderiam conseguir. Assim, tal instituto pode dar lugar a um uso indevido. A teoria da desconsideração não visa a anular a personalidade jurídica, objetiva tão-somente desconsiderar, no caso concreto, dentro de seus limites, a pessoa jurídica em relação às pessoas ou bens que atrás dela se escondem. determinados efeitos, prosseguindo-se incólume para outros”</w:t>
      </w:r>
    </w:p>
    <w:p w:rsidR="00000000" w:rsidDel="00000000" w:rsidP="00000000" w:rsidRDefault="00000000" w:rsidRPr="00000000" w14:paraId="000000F0">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o exposto, fica claro que só é aplicável a desconsideração da personalidade jurídica,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onde houver abuso do direito, como confusão patrimonial ou ato ilícito.</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 Apresentada no artigo 160 da Nova Lei de Licitações: </w:t>
      </w:r>
    </w:p>
    <w:p w:rsidR="00000000" w:rsidDel="00000000" w:rsidP="00000000" w:rsidRDefault="00000000" w:rsidRPr="00000000" w14:paraId="000000F2">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160. A personalidade jurídica poderá ser desconsiderada sempre que utilizada com abuso do direito para facilitar, encobrir ou dissimular a prática dos atos ilícitos previstos nesta Lei ou para provocar confusão patrimonial, e, nesse caso, todos os efeitos das sanções aplicadas à pessoa jurídica serão estendidos aos seus administradores e sócios com poderes de administração, a pessoa jurídica sucessora ou a empresa do mesmo ramo com relação de coligação ou controle, de fato ou de direito, com o sancionado, observados, em todos os casos, o contraditório, a ampla defesa e a obrigatoriedade de análise jurídica prévia.</w:t>
      </w:r>
    </w:p>
    <w:p w:rsidR="00000000" w:rsidDel="00000000" w:rsidP="00000000" w:rsidRDefault="00000000" w:rsidRPr="00000000" w14:paraId="000000F3">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4">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O consulente claramente não agiu de má fé no momento em que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dissipou-se</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de seus bens empresariais, agindo desta forma apenas para quitar dívidas trabalhistas e de maior urgência. Não cabendo a medida de desconsideração da personalidade jurídica. </w:t>
      </w:r>
    </w:p>
    <w:p w:rsidR="00000000" w:rsidDel="00000000" w:rsidP="00000000" w:rsidRDefault="00000000" w:rsidRPr="00000000" w14:paraId="000000F5">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Confirma-se a afirmação acima, com a jurisprudência: </w:t>
      </w:r>
    </w:p>
    <w:p w:rsidR="00000000" w:rsidDel="00000000" w:rsidP="00000000" w:rsidRDefault="00000000" w:rsidRPr="00000000" w14:paraId="000000F6">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DE INSTRUMENTO. INCIDENTE DE DESCONSIDERAÇÃO DE PERSONALIDADE JURÍDICA. DECISÃO QUE REJEITOU O PEDIDO DE DESCONSIDERAÇÃO DE PERSONALIDADE JURÍDICA. INSURGÊNCIA DA REQUERENTE QUANTO AO PREENCHIMENTO DOS REQUISITOS. NÃO ACOLHIMENTO. DISSOLUÇÃO IRREGULAR DA EMPRESA DEVEDORA. MOTIVO INSUFICIENTE PARA AUTORIZAR A DESCONSIDERAÇÃO DA PERSONALIDADE JURÍDICA DA EMPRESA. PRECEDENTES STJ. RECURSO CONHECIDO A QUE SE NEGA PROVIMENTO. Trata-se de agravo de instrumento interposto pela parte requerente em face da decisão proferida nos autos de Incidente processual de desconsideração da personalidade jurídica, sob nº 82509-66.2018.8.16.0014, em trâmite perante a 2ª Vara Cível de Londrina, a qual rejeitou a pretensão de desconsideração de personalidade jurídica, por não restarem demonstrados os requisitos para aplicação da medida (mov. 148.1/orig.).Alega a agravante, em síntese, merecer reforma a decisão agravada, tendo em vista que a desconsideração de personalidade jurídica é medida cabível em razão de dissolução irregular da sociedade, uma vez que a sociedade empresária teria encerrado suas atividades enquanto ainda possuía débitos em aberto, caracterizando o abuso da personalidade jurídica e fraude pelos administradores (…). Pois bem.Na hipótese vertente o credor não comprovou o preenchimento dos requisitos que poderiam autorizar a desconsideração da personalidade jurídica, pois o encerramento, mesmo que irregular, das atividades da empresa devedora, não é causa suficiente para permitir a desconsideração de sua personalidade jurídica, eis que obrigatória a ocorrência de confusão patrimonial ou de desvio de finalidade, com o intuito de fraudar credores. De fato, o agravante não apontou fatos concretos que pudessem demonstrar o suposto desvio de personalidade que pudesse justificar a pretendida desconsideração. (TJPR - 17ª C. Cível - 82509-22.2022.8.16.0000 - Londrina - Rel.: DESEMBARGADOR TITO CAMPOS DE PAULA - J. 27.06.2022)</w:t>
      </w:r>
    </w:p>
    <w:p w:rsidR="00000000" w:rsidDel="00000000" w:rsidP="00000000" w:rsidRDefault="00000000" w:rsidRPr="00000000" w14:paraId="000000F7">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8">
      <w:pPr>
        <w:shd w:fill="ffffff" w:val="clea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Consta da decisão supracitada falta de requisitos para a medida solicitada, onde não ocorreu nenhum abuso da personalidade jurídica, ocasionando no agravo negado.</w:t>
      </w:r>
    </w:p>
    <w:p w:rsidR="00000000" w:rsidDel="00000000" w:rsidP="00000000" w:rsidRDefault="00000000" w:rsidRPr="00000000" w14:paraId="000000F9">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Administrativo e direito PROCESSUAL CIVIL. AGRAVO DE INSTRUMENTO. CUMPRIMENTO DE SENTENÇA CONTRA A FAZENDA PÚBLICA. vizivali.  desconsideração da personalidade jurídica. impossibilidade. ausência de prova de fraude, desvio de finalidade e/ou confusão patrimonial. dolo não demonstrado. súmula 435/stj. inaplicabilidade.</w:t>
      </w:r>
    </w:p>
    <w:p w:rsidR="00000000" w:rsidDel="00000000" w:rsidP="00000000" w:rsidRDefault="00000000" w:rsidRPr="00000000" w14:paraId="000000FA">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Tratando-se de dívida civil, a autorização para a desconsideração da personalidade jurídica da empresa depende da prova de existência de fraude, que caracterize o desvio de finalidade da empresa e/ou confusão patrimonial, bem como da demonstração da atuação dolosa da qual decorreu a fraude, o desvio ou a confusão patrimonial, nos termos do art. 50 do Código Civil, restando inaplicável a Súmula n° 435 do STJ.</w:t>
      </w:r>
    </w:p>
    <w:p w:rsidR="00000000" w:rsidDel="00000000" w:rsidP="00000000" w:rsidRDefault="00000000" w:rsidRPr="00000000" w14:paraId="000000FB">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Da análise dos autos, não há quaisquer elementos que evidenciem a efetiva ocorrência de desvio de finalidade (hipóteses em que a empresa se afasta do seu objeto social), ou mesmo de confusão patrimonial entre os bens da sociedade e dos sócios. O fato de a empresa não estar exercendo suas atividades não têm o condão de evidenciar os requisitos supra.</w:t>
      </w:r>
    </w:p>
    <w:p w:rsidR="00000000" w:rsidDel="00000000" w:rsidP="00000000" w:rsidRDefault="00000000" w:rsidRPr="00000000" w14:paraId="000000FC">
      <w:pPr>
        <w:shd w:fill="ffffff" w:val="clear"/>
        <w:spacing w:after="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Não se verifica qualquer indício de ato ou fato capaz de caracterizar o abuso de personalidade jurídica, sendo inviável a adoção da disregard doctrine, de modo que há de ser mantida a decisão agravada, que se coaduna ao entendimento ora adotado. (TRF-4.ª Reg. - AgIn 5014032-04.2022.4.04.0000 - 3ª Turma - j. 5/7/2022 - julgado por Vânia Hack de Almeida - DJFe 6/7/2022)</w:t>
      </w:r>
    </w:p>
    <w:p w:rsidR="00000000" w:rsidDel="00000000" w:rsidP="00000000" w:rsidRDefault="00000000" w:rsidRPr="00000000" w14:paraId="000000FD">
      <w:pPr>
        <w:shd w:fill="ffffff" w:val="clear"/>
        <w:spacing w:after="0" w:line="261" w:lineRule="auto"/>
        <w:ind w:left="2267" w:hanging="155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shd w:fill="ffffff" w:val="clear"/>
        <w:spacing w:after="100" w:before="100" w:line="261" w:lineRule="auto"/>
        <w:ind w:firstLine="708"/>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agravo, o pedido de desconsideração da personalidade jurídica foi negado, devido à falta de provas de que houve fraude por parte da empresa ré, onde não se verificou abuso da mesma.</w:t>
      </w:r>
    </w:p>
    <w:p w:rsidR="00000000" w:rsidDel="00000000" w:rsidP="00000000" w:rsidRDefault="00000000" w:rsidRPr="00000000" w14:paraId="000000FF">
      <w:pPr>
        <w:shd w:fill="ffffff" w:val="clear"/>
        <w:spacing w:after="100" w:before="100" w:line="261" w:lineRule="auto"/>
        <w:ind w:left="2267" w:hanging="155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sentido, tem julgado em outro processo:</w:t>
      </w:r>
    </w:p>
    <w:p w:rsidR="00000000" w:rsidDel="00000000" w:rsidP="00000000" w:rsidRDefault="00000000" w:rsidRPr="00000000" w14:paraId="00000100">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1">
      <w:pPr>
        <w:shd w:fill="ffffff" w:val="clear"/>
        <w:spacing w:after="100" w:before="100" w:line="261"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DESCONSIDERAÇÃO DA PERSONALIDADE JURÍDICA Os bens dos sócios não respondem pelas dívidas da sociedade, senão nos casos previstos em lei (CPC/2015, arts. 790, II e 795) A desconsideração de personalidade jurídica relativa à responsabilidade contratual de natureza civil é regulada pelo disposto no art. 50, do CC, que adotou a teoria maior da desconsideração, o que afasta a aplicação da Súmula 435/STJ, afeta à teoria menor da desconsideração, incidente nas responsabilidades decorrente do direito tributário, ambiental ou do consumidor - Conforme a orientação do Eg. STJ, a desconsideração da personalidade da pessoa jurídica será regulada pelo art. 50 do Código Civil nas causas em que a relação jurídica subjacente ao processo for cível-empresarial, caso dos autos, a mera insolvência com demonstração de inexistência de patrimônio da pessoa jurídica ou de respectiva dissolução irregular sem a devida baixa na Junta Comercial, com alteração de razão social e de seu endereço não podem ser considerados isoladamente como fatos ensejadores da desconsideração da personalidade jurídica, visto que o requisito indispensável é a comprovação da má-fé dos sócios, a confusão patrimonial ou o abuso da personalidade jurídica, nos termos do art. 50, do CC/2002 - Como, no caso dos autos, (a) não restou demonstrada a existência de fato revelador de abuso da personalidade jurídica da sociedade empresária devedora, caracterizado pelo desvio de finalidade ou pela confusão patrimonial, objetivando fraudar terceiros, ou de confusão patrimonial dos bens da pessoa jurídica e de seus sócios, mas, apenas e tão somente, o encerramento irregular das atividades da sociedade empresária devedora, com ausência de bens para satisfação de dívidas e a existência de diversas ações buscando o adimplemento de débitos, (b) é incabível o deferimento da desconsideração da personalidade jurídica para inclusão dos ex-sócios da sociedade devedora pleiteado pela parte agravante - Manutenção da r. decisão agravada, , na parte objeto do presente recurso. Recurso desprovido. (TJSP - AgIn 2199401-19.2018.8.26.0000 - 20ª Câmara de Direito Privado - j. 3/6/2019 - julgado por Rebello Pinho - DJe 7/6/2019)</w:t>
      </w:r>
    </w:p>
    <w:p w:rsidR="00000000" w:rsidDel="00000000" w:rsidP="00000000" w:rsidRDefault="00000000" w:rsidRPr="00000000" w14:paraId="00000102">
      <w:pPr>
        <w:shd w:fill="ffffff" w:val="clear"/>
        <w:spacing w:after="100" w:before="100" w:line="261" w:lineRule="auto"/>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Temos nesta jurisprudência, um dos melhores exemplos acerca do nosso caso, no qual foi solicitado a desconsideração da pessoa jurídica porque a empresa havia encerrado suas atividades e não dispunha de bens para satisfação das dívidas, o recurso foi desprovido devido a falta de abuso evidenciado.</w:t>
      </w:r>
    </w:p>
    <w:p w:rsidR="00000000" w:rsidDel="00000000" w:rsidP="00000000" w:rsidRDefault="00000000" w:rsidRPr="00000000" w14:paraId="00000104">
      <w:pPr>
        <w:spacing w:after="200" w:line="360" w:lineRule="auto"/>
        <w:ind w:firstLine="705"/>
        <w:jc w:val="both"/>
        <w:rPr>
          <w:rFonts w:ascii="Times New Roman" w:cs="Times New Roman" w:eastAsia="Times New Roman" w:hAnsi="Times New Roman"/>
          <w:sz w:val="24"/>
          <w:szCs w:val="24"/>
        </w:rPr>
      </w:pPr>
      <w:sdt>
        <w:sdtPr>
          <w:tag w:val="goog_rdk_4"/>
        </w:sdtPr>
        <w:sdtContent>
          <w:commentRangeStart w:id="4"/>
        </w:sdtContent>
      </w:sdt>
      <w:r w:rsidDel="00000000" w:rsidR="00000000" w:rsidRPr="00000000">
        <w:rPr>
          <w:rFonts w:ascii="Times New Roman" w:cs="Times New Roman" w:eastAsia="Times New Roman" w:hAnsi="Times New Roman"/>
          <w:sz w:val="24"/>
          <w:szCs w:val="24"/>
          <w:rtl w:val="0"/>
        </w:rPr>
        <w:t xml:space="preserve">Concluímos, com todos os fatos citados, que Márcio não poderá responder com seus bens particulares às dívidas requeridas, devendo continuar replicando como Pessoa Jurídica. </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105">
      <w:pPr>
        <w:spacing w:after="200" w:line="360" w:lineRule="auto"/>
        <w:ind w:firstLine="70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 Caracterização do erro de proibição:</w:t>
      </w:r>
    </w:p>
    <w:p w:rsidR="00000000" w:rsidDel="00000000" w:rsidP="00000000" w:rsidRDefault="00000000" w:rsidRPr="00000000" w14:paraId="00000107">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erro de proibição é caracterizado quando o agente tem uma equivocada compreensão da lei, com isso pratica um ato ilícito supondo que sua conduta não é proibida. Nas palavras de Francisco de Assis Toledo, citado por CAPEZ (2022): </w:t>
      </w:r>
    </w:p>
    <w:p w:rsidR="00000000" w:rsidDel="00000000" w:rsidP="00000000" w:rsidRDefault="00000000" w:rsidRPr="00000000" w14:paraId="00000108">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o agente supõe permitida uma conduta proibida; lícita, uma conduta ilícita. O seu erro consiste em um juízo equivocado sobre aquilo que lhe é permitido fazer na vida em sociedade. Mas não se trata de um juízo técnico-jurídico, que não se poderia exigir do leigo, e, sim, de um juízo profano, um juízo que é emitido de acordo com a opinião dominante no meio social e comunitário”.</w:t>
      </w:r>
    </w:p>
    <w:p w:rsidR="00000000" w:rsidDel="00000000" w:rsidP="00000000" w:rsidRDefault="00000000" w:rsidRPr="00000000" w14:paraId="00000109">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no erro de proibição, o sujeito no momento da ação ou da omissão, possui plena consciência que age de acordo com as regras da coletividade, no entanto, em virtude da má compreensão da lei, pratica um ato ilícito, crendo que sua conduta é permitida e aceita pela sociedade.</w:t>
      </w:r>
    </w:p>
    <w:p w:rsidR="00000000" w:rsidDel="00000000" w:rsidP="00000000" w:rsidRDefault="00000000" w:rsidRPr="00000000" w14:paraId="0000010B">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o art. 8º da Lei das Contravenções Penais, no caso de ignorância ou errada compreensão da norma jurídica, quando inevitável, poderá deixar de ser aplicada pena. Estabelece, ainda, o Código Penal, em seu art. 21, que não se pode alegar o desconhecimento da norma, no entanto se o erro recair sobre o fato inevitável, o agente será isento de pena, e se o erro for evitável, haverá redução de pena.</w:t>
      </w:r>
    </w:p>
    <w:p w:rsidR="00000000" w:rsidDel="00000000" w:rsidP="00000000" w:rsidRDefault="00000000" w:rsidRPr="00000000" w14:paraId="0000010C">
      <w:pPr>
        <w:spacing w:after="200" w:line="240" w:lineRule="auto"/>
        <w:ind w:left="2265"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21 - O desconhecimento da lei é inescusável. O erro sobre a ilicitude do fato, se inevitável, isenta de pena; se evitável, poderá diminuí-la de um sexto a um terço.</w:t>
      </w:r>
    </w:p>
    <w:p w:rsidR="00000000" w:rsidDel="00000000" w:rsidP="00000000" w:rsidRDefault="00000000" w:rsidRPr="00000000" w14:paraId="0000010D">
      <w:pP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 Considera-se evitável o erro se o agente atua ou se omite sem a consciência da ilicitude do fato, quando lhe era possível, nas circunstâncias, ter ou atingir essa consciência.</w:t>
      </w:r>
    </w:p>
    <w:p w:rsidR="00000000" w:rsidDel="00000000" w:rsidP="00000000" w:rsidRDefault="00000000" w:rsidRPr="00000000" w14:paraId="0000010E">
      <w:pP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F">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a doutrina esclarece que no erro de proibição inevitável ou escusável, o agente não tinha como saber da ilicitude do fato, inexistindo portanto, a potencial consciência da ilicitude, com isso a culpabilidade é excluída e haverá isenção de pena. Já no erro de proibição evitável ou inescusável, o agente mesmo desconhecendo a ilicitude do fato, tinha condições de evitar a prática ilícita, portanto, há neste caso, a potencial consciência da ilicitude, a culpabilidade não será excluída, porém poderá haver a redução de pena.</w:t>
      </w:r>
    </w:p>
    <w:p w:rsidR="00000000" w:rsidDel="00000000" w:rsidP="00000000" w:rsidRDefault="00000000" w:rsidRPr="00000000" w14:paraId="00000110">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erro de proibição, pode ainda, ser classificado como direto ou indireto. O erro de proibição direto é quando o agente não tem conhecimento na proibição, um exemplo citado por Cunha, é o caso do holandês que vem para o Brasil e faz uso da maconha não sabendo que é uma prática ilícita (CUNHA, 2020). Por outro lado, o erro de proibição indireto é quando o agente tem conhecimento da ilicitude do ato, porém acredita que dada as circunstâncias, não será punido, um exemplo clássico utilizado pela doutrina é o caso de um camponês que se acha no direito de agredir sua mulher, por acreditar que foi traído.</w:t>
      </w:r>
    </w:p>
    <w:p w:rsidR="00000000" w:rsidDel="00000000" w:rsidP="00000000" w:rsidRDefault="00000000" w:rsidRPr="00000000" w14:paraId="0000011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segundo CAPAZ (2022) “o que importa é investigar se o sujeito, ao praticar o crime, tinha a possibilidade de saber que fazia algo errado ou injusto, de acordo com o meio social que o cerca, as tradições e costumes locais, sua formação cultural, seu nível intelectual, resistência emocional e psíquica e inúmeros outros fatores”. trata-se, portanto, de uma análise geral do sujeito, pois é uma maneira de se evitar uma punição injusta.</w:t>
      </w:r>
    </w:p>
    <w:p w:rsidR="00000000" w:rsidDel="00000000" w:rsidP="00000000" w:rsidRDefault="00000000" w:rsidRPr="00000000" w14:paraId="00000112">
      <w:pPr>
        <w:shd w:fill="ffffff" w:val="clea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Posto isso, é notório que grande parte dos consumidores não pedem nota fiscal na compra de seus produtos e, em meio a tantas regras tributárias é comum os empresários confundirem a sonegação fiscal com a inadimplência fiscal.</w:t>
      </w:r>
    </w:p>
    <w:p w:rsidR="00000000" w:rsidDel="00000000" w:rsidP="00000000" w:rsidRDefault="00000000" w:rsidRPr="00000000" w14:paraId="00000113">
      <w:pPr>
        <w:shd w:fill="ffffff" w:val="clea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sonegação fiscal é a ocultação ou omissão, parcial ou total, dos valores financeiros repassados ao Estado, cujo objetivo é reduzir a carga tributária, é portanto, uma ação dolosa que constitui crime segundo a Lei n. 8.137/90. Entretanto, a inadimplência fiscal ocorre quando o indivíduo deixa de realizar as contribuições por um período de tempo, devido à falta de recursos ou má administração, sem o intuito de “burlar” as regras tributárias, nesta hipótese não será considerado crime, mas haverá a aplicação de multa.</w:t>
      </w:r>
    </w:p>
    <w:p w:rsidR="00000000" w:rsidDel="00000000" w:rsidP="00000000" w:rsidRDefault="00000000" w:rsidRPr="00000000" w14:paraId="00000114">
      <w:pPr>
        <w:shd w:fill="ffffff" w:val="clea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Esclarece-se, no entanto, que a acusação remetida ao consulente, pelo crime previsto no art. 1°, inciso V, da Lei n. 8.137/90, trata-se de sonegação fiscal por negar ou deixar de fornecer nota fiscal quando obrigatória. Ocorre que, por acreditar genuinamente que a apresentação das notas fiscais era apenas uma irregularidade simples, Márcio confessa que deixou de comparecer à delegacia por motivo de compromissos inadiáveis. Pelo período de investigação apresentado na denúncia (02/2019 a 12/2019) a empresa do consulente já passava por um declínio financeiro, o que dificultou honrar com algumas obrigações.</w:t>
      </w:r>
    </w:p>
    <w:p w:rsidR="00000000" w:rsidDel="00000000" w:rsidP="00000000" w:rsidRDefault="00000000" w:rsidRPr="00000000" w14:paraId="00000115">
      <w:pPr>
        <w:shd w:fill="ffffff" w:val="clea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o art. 1º, inciso I, da Lei 4.729/65, o crime de sonegação fiscal ocorrerá quando houver a intenção de esquivar-se, total ou parcialmente, do pagamento de tributos.</w:t>
      </w:r>
    </w:p>
    <w:p w:rsidR="00000000" w:rsidDel="00000000" w:rsidP="00000000" w:rsidRDefault="00000000" w:rsidRPr="00000000" w14:paraId="00000116">
      <w:pPr>
        <w:shd w:fill="ffffff" w:val="clear"/>
        <w:spacing w:after="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1º Constitui crime de sonegação fiscal:</w:t>
      </w:r>
    </w:p>
    <w:p w:rsidR="00000000" w:rsidDel="00000000" w:rsidP="00000000" w:rsidRDefault="00000000" w:rsidRPr="00000000" w14:paraId="00000117">
      <w:pPr>
        <w:shd w:fill="ffffff" w:val="clea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8">
      <w:pPr>
        <w:shd w:fill="ffffff" w:val="clear"/>
        <w:spacing w:after="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prestar declaração falsa ou omitir, total ou parcialmente, informação que deva ser produzida a agentes das pessoas jurídicas de direito público interno, com a intenção de eximir-se, total ou parcialmente, do pagamento de tributos, taxas e quaisquer adicionais devidos por lei;</w:t>
      </w:r>
    </w:p>
    <w:p w:rsidR="00000000" w:rsidDel="00000000" w:rsidP="00000000" w:rsidRDefault="00000000" w:rsidRPr="00000000" w14:paraId="00000119">
      <w:pPr>
        <w:shd w:fill="ffffff" w:val="clear"/>
        <w:spacing w:after="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A">
      <w:pPr>
        <w:shd w:fill="ffffff" w:val="clea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Verifica-se, portanto, que à época do fato, Márcio não tinha intenção de praticar um ato ilícito. Dessa forma, apesar do consulente declarar o desconhecimento da norma incriminadora, que segundo a doutrina não exclui a culpabilidade, houve uma equivocada compreensão do caráter injusto do fato, visto que a inadimplência fiscal não constitui crime e a sonegação sim.</w:t>
      </w:r>
    </w:p>
    <w:p w:rsidR="00000000" w:rsidDel="00000000" w:rsidP="00000000" w:rsidRDefault="00000000" w:rsidRPr="00000000" w14:paraId="0000011B">
      <w:pPr>
        <w:shd w:fill="ffffff" w:val="clea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sentido tem entendido a jurisprudência:</w:t>
      </w:r>
    </w:p>
    <w:p w:rsidR="00000000" w:rsidDel="00000000" w:rsidP="00000000" w:rsidRDefault="00000000" w:rsidRPr="00000000" w14:paraId="0000011C">
      <w:pPr>
        <w:shd w:fill="ffffff" w:val="clear"/>
        <w:spacing w:after="48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PROCESSUAL CIVIL E TRIBUTÁRIO. OMISSÃO INEXISTENTE. EXECUÇÃO FISCAL. REDIRECIONAMENTO. INADIMPLEMENTO DA OBRIGAÇÃO DE PAGAR TRIBUTOS. IMPOSSIBILIDADE. FALÊNCIA.1. Não há violação do artigo 535 do Código de Processo Civil quando a Corte de origem se pronuncia de forma clara e suficiente sobre a questão posta nos autos, tendo o decisum se mostrado suficientemente fundamentado.2. O mero inadimplemento da obrigação de pagar tributos não constitui infração legal capaz de ensejar a responsabilidade prevista no artigo 135 do Código Tributário Nacional. Ademais, a quebra da empresa executada não autoriza a inclusão automática dos sócios, devendo estar comprovada a prática de atos com excesso de poderes ou infração à lei. 3. Recurso especial provido (STJ - Recurso Especial nº 1.273.450 – SP (2011/0133321-3). Relator Min. Castro Meira. Diário de Justiça, Brasília, 16 nov., 2011).</w:t>
      </w:r>
    </w:p>
    <w:p w:rsidR="00000000" w:rsidDel="00000000" w:rsidP="00000000" w:rsidRDefault="00000000" w:rsidRPr="00000000" w14:paraId="0000011D">
      <w:pPr>
        <w:shd w:fill="ffffff" w:val="clea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Consta da decisão supracitada “que o mero inadimplemento da obrigação de pagar tributos não constitui infração legal capaz de ensejar a responsabilidade prevista no art. 135 do Código Tributário Nacional”, ou seja, os sócios da pessoa jurídica não devem criminalizados pelo simples fato de inadimplemento da obrigação tributária, sendo necessário a comprovação da prática contra a ordem tributária. Assim, a turma decidiu, por unanimidade, negar provimento ao agravo que se pretendia a execução do sócio, no polo passivo, pelo crime de sonegação fiscal.</w:t>
      </w:r>
    </w:p>
    <w:p w:rsidR="00000000" w:rsidDel="00000000" w:rsidP="00000000" w:rsidRDefault="00000000" w:rsidRPr="00000000" w14:paraId="0000011E">
      <w:pPr>
        <w:shd w:fill="ffffff" w:val="clea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Quanto ao instituto do erro de proibição assim tem julgado o Tribunal Regional Federal da 4ª Região:</w:t>
      </w:r>
    </w:p>
    <w:p w:rsidR="00000000" w:rsidDel="00000000" w:rsidP="00000000" w:rsidRDefault="00000000" w:rsidRPr="00000000" w14:paraId="0000011F">
      <w:pPr>
        <w:shd w:fill="ffffff" w:val="clear"/>
        <w:spacing w:after="48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DIREITO PENAL. DIREITO PROCESSUAL PENAL. AUSÊNCIA DE SELO DO IPI. MERCADORIAS EXPOSTAS À VENDA. ART. 293, § 1º, III, "B", DO CÓDIGO PENAL. CRIME CONTRA A FÉ PÚBLICA. PRELIMINAR DE MÉRITO. ILICITUDE DA PROVA. VIOLAÇÃO DO DOMICÍLIO. INEXISTÊNCIA. EXAME PERICIAL. DESNECESSIDADE. MÉRITO. AUTORIA. COMPROVADA. ERRO DE PROIBIÇÃO EVITÁVEL. OCORRÊNCIA. PRECEDENTES. . ILICITUDE DA PROVA. VIOLAÇÃO DE DOMICÍLIO: (...) ERRO DE PROIBIÇÃO: O instituto previsto no artigo 21 do Código Penal isenta de pena aquele que desconhece o próprio caráter ilícito de sua conduta, acreditando ser ela compatível com as normas sociais. A consciência da ilicitude de uma conduta decorre da compreensão axiológica de que esta conduta é contrária ao ordenamento jurídico, e não do conhecimento da letra da lei. Assim, havendo ciência da proibição, ainda que em nível profano, descaracteriza-se a excludente; . O erro de proibição está relacionado à concreta ausência da consciência da ilicitude de uma determinada conduta, no momento da atuação do agente, ocorrendo quando este, embora agindo com intenção/vontade (dolosamente), atua por erro quanto à ilicitude de seu comportamento; . Na hipótese, a alegação deduzida pela defesa, conquanto não esteja comprovada de maneira robusta, ao ser cotejada com os demais testemunhos existentes nos autos, revela-se bastante plausível. O réu, partindo de uma compreensão equivocada da legislação tributária federal - talvez induzido pelo próprio fabricante das bebidas -, supôs erroneamente a incidência de isenção tributária e a desnecessidade de aposição do selo. Com efeito, o erro sobre a ilicitude do fato, embora evitável - pois facilmente vencível -, ocorreu. (TRF-4.ª Reg. - ApCrim 5002145-33.2013.4.04.7115 - 7.ª Turma - j. 3/4/2019 - julgado por Cláudia Cristina Cristofani - DJFe 4/4/2019)</w:t>
      </w:r>
    </w:p>
    <w:p w:rsidR="00000000" w:rsidDel="00000000" w:rsidP="00000000" w:rsidRDefault="00000000" w:rsidRPr="00000000" w14:paraId="00000120">
      <w:pPr>
        <w:shd w:fill="ffffff" w:val="clear"/>
        <w:spacing w:after="200" w:line="276"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desembargadores, por unanimidade, acordaram dar provimento parcial ao primeiro apelante para reconhecer o erro sobre a ilicitude do fato, embora evitável, uma vez que foi demonstrada, na conduta do réu, a equivocada compreensão da legislação, estendendo-se também ao segundo apelante. Contudo, aplicou-se a regra do artigo 21, parágrafo único, do CP, em razão da presença da potencial consciência da ilicitude.</w:t>
      </w:r>
    </w:p>
    <w:p w:rsidR="00000000" w:rsidDel="00000000" w:rsidP="00000000" w:rsidRDefault="00000000" w:rsidRPr="00000000" w14:paraId="00000121">
      <w:pPr>
        <w:shd w:fill="ffffff" w:val="clear"/>
        <w:spacing w:after="480" w:line="240" w:lineRule="auto"/>
        <w:ind w:firstLine="72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Neste sentido, a mesma turma tem julgado em outro processo:</w:t>
      </w:r>
      <w:r w:rsidDel="00000000" w:rsidR="00000000" w:rsidRPr="00000000">
        <w:rPr>
          <w:rtl w:val="0"/>
        </w:rPr>
      </w:r>
    </w:p>
    <w:p w:rsidR="00000000" w:rsidDel="00000000" w:rsidP="00000000" w:rsidRDefault="00000000" w:rsidRPr="00000000" w14:paraId="00000122">
      <w:pPr>
        <w:shd w:fill="ffffff" w:val="clear"/>
        <w:spacing w:after="48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PENAL. ART. 334-A DO CP. CIGARROS. MERCADORIA RELATIVAMENTE PROIBIDA. CONTRABANDO. MATERIALIDADE, AUTORIA E DOLO DEMONSTRADOS. ERRO DE PROIBIÇÃO EVITÁVEL. CONDENAÇÃO MANTIDA. 1. Os cigarros estrangeiros são mercadoria relativamente proibida, conforme a Lei nº 9.532/1997 (art. 44 a 47) e o Decreto-Lei nº 1.593/1977, normas nas quais consta que apenas podem ser importados cigarros cujas marcas sejam comercializadas nos territórios do origem e que a importação somente pode ser feita por pessoas inscritas no registro especial. Configuração do contrabando. Precedentes do STF e do STJ. 2. Configura-se o erro de proibição evitável quando, apesar de o agente erroneamente supor que a conduta por ele praticada é permitida, era razoável exigir-lhe o conhecimento dessa ilicitude. A situação dos autos se enquadra nessa hipótese. 3. Presente prova da materialidade, da autoria e do dolo no agir, bem como inexistentes causas excludentes da culpabilidade ou da ilicitude, impõe-se manter a condenação. (TRF-4.ª Reg. - ApCrim 5004933-29.2017.4.04.7002 - 7.ª Turma - j. 20/11/2018 - julgado por Salise Monteiro Sanchotene - DJFe 21/11/2018)</w:t>
      </w:r>
    </w:p>
    <w:p w:rsidR="00000000" w:rsidDel="00000000" w:rsidP="00000000" w:rsidRDefault="00000000" w:rsidRPr="00000000" w14:paraId="00000123">
      <w:pPr>
        <w:shd w:fill="ffffff" w:val="clea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Acordaram, por unanimidade, negar provimento à apelação em que se pretendia a absolvição, no qual foi acusado pelo delito previsto no artigo 334-A, §1º, I, do Código Penal. No entanto, decidiram, em manter a condenação que reconheceu a aplicação de erro de proibição evitável, pois, foi comprovada a materialidade, autoria, dolo e inexistência das excludentes da culpabilidade.</w:t>
      </w:r>
    </w:p>
    <w:p w:rsidR="00000000" w:rsidDel="00000000" w:rsidP="00000000" w:rsidRDefault="00000000" w:rsidRPr="00000000" w14:paraId="00000124">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ante ao exposto, entendemos que Márcio poderá ter pena reduzida do crime previsto no art. 1°, inciso V, da Lei n. 8.137, pela caracterização do erro de proibição previsto no art. 21, parágrafo único, do CP. Como explicitado anteriormente, se aplica o erro de proibição quando no momento do fato o agente supõe, por erro, que não pratica um ato ilícito e verificada a possibilidade do erro ter sido evitável, poderá haver redução de pena. No entanto, poderá o juiz indeferir o pedido em razão do grau de instrução do consulente e  do tempo de exercício na atividade empresarial.</w:t>
      </w:r>
    </w:p>
    <w:p w:rsidR="00000000" w:rsidDel="00000000" w:rsidP="00000000" w:rsidRDefault="00000000" w:rsidRPr="00000000" w14:paraId="00000125">
      <w:pPr>
        <w:spacing w:after="20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spacing w:after="200"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CONCLUSÃO</w:t>
      </w:r>
    </w:p>
    <w:p w:rsidR="00000000" w:rsidDel="00000000" w:rsidP="00000000" w:rsidRDefault="00000000" w:rsidRPr="00000000" w14:paraId="00000127">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o exposto e com base nas análises realizadas, entendemos que a comissão partidária está correta em impugnar a candidatura do consulente, visto se trata de inelegibilidade reflexa, pois a norma dispõe que o Chefe do poder executivo torna inelegível os parentes consanguíneos ou afins até o segundo grau, na mesma circunscrição ou menor, porém em se tratando do cargo de Deputado Federal e Senador, há impedimento se forem parentes do Governador. Portanto, como seu pai pretende se reeleger para o cargo de Governador, Márcio não poderá se candidatar a Deputado Federal para este mandato.</w:t>
      </w:r>
    </w:p>
    <w:p w:rsidR="00000000" w:rsidDel="00000000" w:rsidP="00000000" w:rsidRDefault="00000000" w:rsidRPr="00000000" w14:paraId="00000128">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à audiência em Mogi das Cruzes a respeito da ação de cobrança dos aluguéis, não é obrigatório a presença física do depoente. O uso da tecnologia e os meios de comunicação por videoconferência, tem se tornado uma prática como dentro dos tribunais e além disso a legislação é clara em dizer que a parte que residir em comarca diversa daquela onde tramita o processo, não é obrigada a comparecer fisicamente para prestar seu depoimento pessoal. Vale dizer que antes da utilização das ferramentas online, a legislação já previa a possibilidade de colher o depoimento pessoal da parte, residente em outra comarca diversa, por meio de carta precatória, por exemplo, de modo a evitar mais gastos que o depoente poderia ter com seu deslocamento até a outra cidade.</w:t>
      </w:r>
    </w:p>
    <w:p w:rsidR="00000000" w:rsidDel="00000000" w:rsidP="00000000" w:rsidRDefault="00000000" w:rsidRPr="00000000" w14:paraId="00000129">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 diz respeito ao segundo processo contra a empresa MD Technologies, foi feito requerido a desconsideração da personalidade jurídica, ou seja, a responsabilização do patrimônio particular dos sócios pelas obrigações da empresa. No entanto, a desconsideração da personalidade jurídica só pode ser aplicada quando houver confusão patrimonial ou desvio de finalidade, com o intuito de fraudar credores. Dessa forma, como não houve nenhuma dessas hipóteses no caso em análise, o consulente não pode ser responsabilizado com seu patrimônio pessoal, pois o objetivo da  liquidação realizada foi para pagamento das dívidas da empresa.</w:t>
      </w:r>
    </w:p>
    <w:p w:rsidR="00000000" w:rsidDel="00000000" w:rsidP="00000000" w:rsidRDefault="00000000" w:rsidRPr="00000000" w14:paraId="0000012A">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quanto à denúncia criminal, entendemos que poderá ser alegado em sua defesa a tese do erro de proibição evitável, pois o consulente acreditava que não emitir nota fiscal era apenas uma inadimplência simples, mas na verdade trata-se de sonegação fiscal. Dessa forma, o ordenamento jurídico dispõe  que o instituto do erro de proibição será aplicado quando, no momento da ação ou da omissão, o agente tem uma equivocada compreensão da lei, de modo que pratica um ato ilícito supondo que sua conduta não é proibida e sendo o erro inevitável, o agente será isento de pena ou se era evitável, terá redução de pena. Entretanto, ressaltamos que apesar da alegação de erro de proibição ao caso, o magistrado pode não acolher a tese em razão do grau de instrução do consulente e  do tempo de exercício na atividade empresarial.</w:t>
      </w:r>
    </w:p>
    <w:p w:rsidR="00000000" w:rsidDel="00000000" w:rsidP="00000000" w:rsidRDefault="00000000" w:rsidRPr="00000000" w14:paraId="0000012B">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É o parecer, salvo melhor juízo.</w:t>
      </w:r>
    </w:p>
    <w:p w:rsidR="00000000" w:rsidDel="00000000" w:rsidP="00000000" w:rsidRDefault="00000000" w:rsidRPr="00000000" w14:paraId="0000012C">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11  de novembro de 2022.</w:t>
      </w:r>
    </w:p>
    <w:p w:rsidR="00000000" w:rsidDel="00000000" w:rsidP="00000000" w:rsidRDefault="00000000" w:rsidRPr="00000000" w14:paraId="0000012D">
      <w:pPr>
        <w:spacing w:after="0" w:line="360" w:lineRule="auto"/>
        <w:ind w:left="120" w:right="120"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spacing w:after="0" w:line="360" w:lineRule="auto"/>
        <w:ind w:left="120" w:right="120"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Diego Octávio dos Reis</w:t>
      </w:r>
    </w:p>
    <w:p w:rsidR="00000000" w:rsidDel="00000000" w:rsidP="00000000" w:rsidRDefault="00000000" w:rsidRPr="00000000" w14:paraId="00000130">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21000842</w:t>
      </w:r>
    </w:p>
    <w:p w:rsidR="00000000" w:rsidDel="00000000" w:rsidP="00000000" w:rsidRDefault="00000000" w:rsidRPr="00000000" w14:paraId="00000131">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Helena Santana Silveira</w:t>
      </w:r>
    </w:p>
    <w:p w:rsidR="00000000" w:rsidDel="00000000" w:rsidP="00000000" w:rsidRDefault="00000000" w:rsidRPr="00000000" w14:paraId="00000134">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21000161</w:t>
      </w:r>
    </w:p>
    <w:p w:rsidR="00000000" w:rsidDel="00000000" w:rsidP="00000000" w:rsidRDefault="00000000" w:rsidRPr="00000000" w14:paraId="00000135">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spacing w:after="20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Rute da Silva Nascimento Mauch</w:t>
      </w:r>
    </w:p>
    <w:p w:rsidR="00000000" w:rsidDel="00000000" w:rsidP="00000000" w:rsidRDefault="00000000" w:rsidRPr="00000000" w14:paraId="00000137">
      <w:pPr>
        <w:spacing w:after="20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21000834</w:t>
      </w:r>
      <w:r w:rsidDel="00000000" w:rsidR="00000000" w:rsidRPr="00000000">
        <w:br w:type="page"/>
      </w:r>
      <w:r w:rsidDel="00000000" w:rsidR="00000000" w:rsidRPr="00000000">
        <w:rPr>
          <w:rtl w:val="0"/>
        </w:rPr>
      </w:r>
    </w:p>
    <w:p w:rsidR="00000000" w:rsidDel="00000000" w:rsidP="00000000" w:rsidRDefault="00000000" w:rsidRPr="00000000" w14:paraId="00000138">
      <w:pPr>
        <w:spacing w:after="200" w:line="24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rtl w:val="0"/>
        </w:rPr>
        <w:t xml:space="preserve">REFERÊNCIAS</w:t>
      </w:r>
      <w:r w:rsidDel="00000000" w:rsidR="00000000" w:rsidRPr="00000000">
        <w:rPr>
          <w:rtl w:val="0"/>
        </w:rPr>
      </w:r>
    </w:p>
    <w:p w:rsidR="00000000" w:rsidDel="00000000" w:rsidP="00000000" w:rsidRDefault="00000000" w:rsidRPr="00000000" w14:paraId="00000139">
      <w:pPr>
        <w:spacing w:after="200" w:line="240" w:lineRule="auto"/>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3A">
      <w:pPr>
        <w:spacing w:after="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AMORIM, Manoel Carpena. Revista da EMERJ, v.2, n.8, 1999</w:t>
      </w:r>
    </w:p>
    <w:p w:rsidR="00000000" w:rsidDel="00000000" w:rsidP="00000000" w:rsidRDefault="00000000" w:rsidRPr="00000000" w14:paraId="0000013B">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ANDRADE FILHO, Edmar Oliveira. Desconsideração da Personalidade Jurídica no Novo Código Civil. São Paulo: MP Editora, 2005</w:t>
      </w:r>
    </w:p>
    <w:p w:rsidR="00000000" w:rsidDel="00000000" w:rsidP="00000000" w:rsidRDefault="00000000" w:rsidRPr="00000000" w14:paraId="0000013C">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Conselho Nacional de Justiça. Resolução n. 105, de 06 de abril de 2010. Dispõe sobre a documentação dos depoimentos por meio do sistema audiovisual e realização de interrogatório e inquirição de testemunhas por videoconferência. DJE/CNJ nº 62/2010, de 08/04/2010, p. 5-6</w:t>
      </w:r>
    </w:p>
    <w:p w:rsidR="00000000" w:rsidDel="00000000" w:rsidP="00000000" w:rsidRDefault="00000000" w:rsidRPr="00000000" w14:paraId="0000013D">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Conselho Nacional de Justiça. Resolução n. 341, de 10 de outubro de 2020. Determina aos tribunais brasileiros a disponibilização de salas para depoimentos em audiências por sistema de videoconferência, a fim de evitar o contágio pela Covid-19. DJe/CNJ nº 328, de 8/10/2020, p. 5-7.</w:t>
      </w:r>
    </w:p>
    <w:p w:rsidR="00000000" w:rsidDel="00000000" w:rsidP="00000000" w:rsidRDefault="00000000" w:rsidRPr="00000000" w14:paraId="0000013E">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Constituição da República Federativa do Brasil de 1988. Brasília, DF, Senado, 1988.</w:t>
      </w:r>
    </w:p>
    <w:p w:rsidR="00000000" w:rsidDel="00000000" w:rsidP="00000000" w:rsidRDefault="00000000" w:rsidRPr="00000000" w14:paraId="0000013F">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Decreto-lei, n. 2.848, de 07 de dezembro de 1940. Código Penal. Brasília, DF, Senado, 1940</w:t>
      </w:r>
    </w:p>
    <w:p w:rsidR="00000000" w:rsidDel="00000000" w:rsidP="00000000" w:rsidRDefault="00000000" w:rsidRPr="00000000" w14:paraId="00000140">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Decreto-lei, n. 3.688, de 03 de outubro de 1941. Lei das Contravenções Penais. Brasília, DF, Senado, 1941</w:t>
      </w:r>
    </w:p>
    <w:p w:rsidR="00000000" w:rsidDel="00000000" w:rsidP="00000000" w:rsidRDefault="00000000" w:rsidRPr="00000000" w14:paraId="00000141">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4.729, de 14 de julho de 1965. Define o crime de sonegação fiscal e dá outras providências. Brasília, DF, Senado, 1965</w:t>
      </w:r>
    </w:p>
    <w:p w:rsidR="00000000" w:rsidDel="00000000" w:rsidP="00000000" w:rsidRDefault="00000000" w:rsidRPr="00000000" w14:paraId="00000142">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8.137, de 27 de dezembro de 1990. Define crimes contra a ordem tributária, econômica e contra as relações de consumo, e dá outras providências. Brasília, DF, Senado, 1990</w:t>
      </w:r>
    </w:p>
    <w:p w:rsidR="00000000" w:rsidDel="00000000" w:rsidP="00000000" w:rsidRDefault="00000000" w:rsidRPr="00000000" w14:paraId="00000143">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10.406, de 10 de janeiro de 2002. Institui o Código Civil. Brasília, DF, Senado, 2002</w:t>
      </w:r>
    </w:p>
    <w:p w:rsidR="00000000" w:rsidDel="00000000" w:rsidP="00000000" w:rsidRDefault="00000000" w:rsidRPr="00000000" w14:paraId="00000144">
      <w:pPr>
        <w:spacing w:after="20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tl w:val="0"/>
        </w:rPr>
        <w:t xml:space="preserve">BRASIL. Lei n. 13.105, de 16 de março de 2015. Código de Processo Civil, DF, Senado, 2015</w:t>
      </w:r>
      <w:r w:rsidDel="00000000" w:rsidR="00000000" w:rsidRPr="00000000">
        <w:rPr>
          <w:rtl w:val="0"/>
        </w:rPr>
      </w:r>
    </w:p>
    <w:p w:rsidR="00000000" w:rsidDel="00000000" w:rsidP="00000000" w:rsidRDefault="00000000" w:rsidRPr="00000000" w14:paraId="00000145">
      <w:pPr>
        <w:shd w:fill="ffffff" w:val="clea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Recurso Especial nº 1.273.450 – SP (2011/0133321-3). Relator Min. Castro Meira. Diário de Justiça, Brasília, 16 nov. 2011</w:t>
      </w:r>
    </w:p>
    <w:p w:rsidR="00000000" w:rsidDel="00000000" w:rsidP="00000000" w:rsidRDefault="00000000" w:rsidRPr="00000000" w14:paraId="00000146">
      <w:pPr>
        <w:shd w:fill="ffffff" w:val="clea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 REsp 161.438 - j. 6/10/2005 - julgado por Barros Monteiro</w:t>
      </w:r>
    </w:p>
    <w:p w:rsidR="00000000" w:rsidDel="00000000" w:rsidP="00000000" w:rsidRDefault="00000000" w:rsidRPr="00000000" w14:paraId="00000147">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Eleitoral - REsp Eleitoral 140-71.2012.6.26.0134 - j. 20/9/2012 - m.v. - julgado por Dias Toffoli - DJe 20/9/2012</w:t>
      </w:r>
    </w:p>
    <w:p w:rsidR="00000000" w:rsidDel="00000000" w:rsidP="00000000" w:rsidRDefault="00000000" w:rsidRPr="00000000" w14:paraId="00000148">
      <w:pPr>
        <w:shd w:fill="ffffff" w:val="clear"/>
        <w:spacing w:after="100" w:before="100" w:line="261"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Federal - RE 843.455 - Plenário - j. 7/10/2015 - julgado por Teori Albino Zavascki</w:t>
      </w:r>
    </w:p>
    <w:p w:rsidR="00000000" w:rsidDel="00000000" w:rsidP="00000000" w:rsidRDefault="00000000" w:rsidRPr="00000000" w14:paraId="00000149">
      <w:pPr>
        <w:shd w:fill="ffffff" w:val="clear"/>
        <w:spacing w:after="100" w:before="100" w:line="261"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Federal - AgRg no RE 1.028.577 - 2.ª Turma - j. 19/3/2019 - julgado por Enrique Ricardo Lewandowski - DJe 1/4/2019</w:t>
      </w:r>
    </w:p>
    <w:p w:rsidR="00000000" w:rsidDel="00000000" w:rsidP="00000000" w:rsidRDefault="00000000" w:rsidRPr="00000000" w14:paraId="0000014A">
      <w:pPr>
        <w:shd w:fill="ffffff" w:val="clear"/>
        <w:spacing w:after="100" w:before="100" w:line="261"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Distrito Federal - Processo 07336959720218070000 - 7.ª Turma - j. 10/8/2022 - julgado por Cruz Macedo - DJFe 5/9/2022</w:t>
      </w:r>
    </w:p>
    <w:p w:rsidR="00000000" w:rsidDel="00000000" w:rsidP="00000000" w:rsidRDefault="00000000" w:rsidRPr="00000000" w14:paraId="0000014B">
      <w:pPr>
        <w:shd w:fill="ffffff" w:val="clear"/>
        <w:spacing w:after="100" w:before="100" w:line="261"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São Paulo - AgIn 2199401-19.2018.8.26.0000 - 20ª Câmara de Direito Privado - j. 3/6/2019 - julgado por Rebello Pinho - DJe 7/6/2019</w:t>
      </w:r>
    </w:p>
    <w:p w:rsidR="00000000" w:rsidDel="00000000" w:rsidP="00000000" w:rsidRDefault="00000000" w:rsidRPr="00000000" w14:paraId="0000014C">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do Paraná - 17ª C. Cível - 82509-22.2022.8.16.0000 - Londrina - Rel.: Desembargador TITO CAMPOS DE PAULA - J. 27.06.2022</w:t>
      </w:r>
    </w:p>
    <w:p w:rsidR="00000000" w:rsidDel="00000000" w:rsidP="00000000" w:rsidRDefault="00000000" w:rsidRPr="00000000" w14:paraId="0000014D">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do Trabalho - 2.ª Reg. - MS 1001014-88.2021.5.02.0000 - 3.ª Seção Especializada em Dissídios Individuais - j. 4/5/2022 - julgado por Alcina M. F. Beres - DEJT 4/5/2022</w:t>
      </w:r>
    </w:p>
    <w:p w:rsidR="00000000" w:rsidDel="00000000" w:rsidP="00000000" w:rsidRDefault="00000000" w:rsidRPr="00000000" w14:paraId="0000014E">
      <w:pPr>
        <w:shd w:fill="ffffff" w:val="clea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- 4.ª Reg. - ApCrim 5002145-33.2013.4.04.7115 - 7.ª Turma - j. 3/4/2019 - julgado por Cláudia Cristina Cristofani - DJFe 4/4/2019</w:t>
      </w:r>
    </w:p>
    <w:p w:rsidR="00000000" w:rsidDel="00000000" w:rsidP="00000000" w:rsidRDefault="00000000" w:rsidRPr="00000000" w14:paraId="0000014F">
      <w:pPr>
        <w:shd w:fill="ffffff" w:val="clea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- 4.ª Reg. - ApCrim 5004933-29.2017.4.04.7002 - 7.ª Turma - j. 20/11/2018 - julgado por Salise Monteiro Sanchotene - DJFe 21/11/2018</w:t>
      </w:r>
    </w:p>
    <w:p w:rsidR="00000000" w:rsidDel="00000000" w:rsidP="00000000" w:rsidRDefault="00000000" w:rsidRPr="00000000" w14:paraId="00000150">
      <w:pPr>
        <w:shd w:fill="ffffff" w:val="clear"/>
        <w:spacing w:after="200" w:line="261"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-4.ª Reg. - AgIn 5014032-04.2022.4.04.0000 - 3ª Turma - j. 5/7/2022 - julgado por Vânia Hack de Almeida - DJFe 6/7/2022</w:t>
      </w:r>
    </w:p>
    <w:p w:rsidR="00000000" w:rsidDel="00000000" w:rsidP="00000000" w:rsidRDefault="00000000" w:rsidRPr="00000000" w14:paraId="00000151">
      <w:pPr>
        <w:shd w:fill="ffffff" w:val="clea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Curso de Direito Penal – Parte Geral – arts. 1º a 120 – v. 1 – 26. ed. – São Paulo: Saraiva, 2022</w:t>
      </w:r>
    </w:p>
    <w:p w:rsidR="00000000" w:rsidDel="00000000" w:rsidP="00000000" w:rsidRDefault="00000000" w:rsidRPr="00000000" w14:paraId="00000152">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CUNHA, Rogério Sanches. Manual de Direito Penal – Vol. Único – Parte geral. 8ª ed. Salvador: Ed. JusPodium, 2020</w:t>
      </w:r>
    </w:p>
    <w:p w:rsidR="00000000" w:rsidDel="00000000" w:rsidP="00000000" w:rsidRDefault="00000000" w:rsidRPr="00000000" w14:paraId="00000153">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CRUZ, Anderson. Previsões legais de hipóteses de inelegibilidade. Disponível em: &lt;https://andersoncruz5.jusbrasil.com.br/artigos/458676134/previsoes-legais-de-hipoteses-de-inelegibilidade&gt;. Acesso em: 07 nov. 2022</w:t>
      </w:r>
    </w:p>
    <w:p w:rsidR="00000000" w:rsidDel="00000000" w:rsidP="00000000" w:rsidRDefault="00000000" w:rsidRPr="00000000" w14:paraId="00000154">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DONIZETTI, Elpídio. Novo Código de Processo Civil comentado – 2. ed. rev., atual. e ampl. – São Paulo: Atlas, 2017</w:t>
      </w:r>
    </w:p>
    <w:p w:rsidR="00000000" w:rsidDel="00000000" w:rsidP="00000000" w:rsidRDefault="00000000" w:rsidRPr="00000000" w14:paraId="00000155">
      <w:pPr>
        <w:spacing w:after="20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Marcus Vinícius Rios. Curso de Direito Processual Civil.  - Vol. 2 - 18. ed. - São Paulo: Saraiva, 2022</w:t>
      </w:r>
    </w:p>
    <w:p w:rsidR="00000000" w:rsidDel="00000000" w:rsidP="00000000" w:rsidRDefault="00000000" w:rsidRPr="00000000" w14:paraId="0000015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JURIS CORRESPONDENTE. Atos processuais por videoconferência. JurisBlog: 2020. Disponível em: &lt;https://blog.juriscorrespondente.com.br/atos-processuais-por-videoconferen</w:t>
      </w:r>
    </w:p>
    <w:p w:rsidR="00000000" w:rsidDel="00000000" w:rsidP="00000000" w:rsidRDefault="00000000" w:rsidRPr="00000000" w14:paraId="00000157">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cia/&gt;. Acesso em: 21 out. 2022</w:t>
      </w:r>
    </w:p>
    <w:p w:rsidR="00000000" w:rsidDel="00000000" w:rsidP="00000000" w:rsidRDefault="00000000" w:rsidRPr="00000000" w14:paraId="0000015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KÜMMER, Ana Paula. Diferença entre Sonegação Fiscal e Inadimplemento Tributário. JusBrasil: 2020. Disponível em: &lt;https://oliveirakummer.jusbrasil.com.br/artigos/877843333/</w:t>
      </w:r>
    </w:p>
    <w:p w:rsidR="00000000" w:rsidDel="00000000" w:rsidP="00000000" w:rsidRDefault="00000000" w:rsidRPr="00000000" w14:paraId="00000159">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diferenca-entre-sonegacao-fiscal-e-inadimplemento-tributario&gt;. Acesso em: 28 out. 2022</w:t>
      </w:r>
    </w:p>
    <w:p w:rsidR="00000000" w:rsidDel="00000000" w:rsidP="00000000" w:rsidRDefault="00000000" w:rsidRPr="00000000" w14:paraId="0000015A">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LENZA, Pedro. Direito Constitucional. – 26. ed. – São Paulo : SaraivaJur, 2022</w:t>
      </w:r>
    </w:p>
    <w:p w:rsidR="00000000" w:rsidDel="00000000" w:rsidP="00000000" w:rsidRDefault="00000000" w:rsidRPr="00000000" w14:paraId="0000015B">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MOTTA, Sylvio. Direito Constitucional: teoria, jurisprudência e questões. – 29. ed. – Rio de Janeiro: Forense; MÉTODO, 2021</w:t>
      </w:r>
    </w:p>
    <w:p w:rsidR="00000000" w:rsidDel="00000000" w:rsidP="00000000" w:rsidRDefault="00000000" w:rsidRPr="00000000" w14:paraId="0000015C">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PADILHA, Rodrigo. Direito Constitucional. – 6. ed. – Rio de Janeiro: Forense; São Paulo: MÉTODO, 2020</w:t>
      </w:r>
    </w:p>
    <w:p w:rsidR="00000000" w:rsidDel="00000000" w:rsidP="00000000" w:rsidRDefault="00000000" w:rsidRPr="00000000" w14:paraId="0000015D">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PEREIRA, Lucas Lobo. Responsabilidade tributária e desconsideração da personalidade jurídica no novo CPC. - São Paulo : Almedina, 2019</w:t>
      </w:r>
    </w:p>
    <w:p w:rsidR="00000000" w:rsidDel="00000000" w:rsidP="00000000" w:rsidRDefault="00000000" w:rsidRPr="00000000" w14:paraId="0000015E">
      <w:pPr>
        <w:spacing w:after="200" w:line="240" w:lineRule="auto"/>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THEODORO JÚNIOR, Humberto. Curso de direito processual civil, volume 1: teoria geral do direito processual civil, processo de conhecimento, procedimento comum – 63. ed. – Rio de Janeiro: Forense, 2022</w:t>
      </w:r>
      <w:r w:rsidDel="00000000" w:rsidR="00000000" w:rsidRPr="00000000">
        <w:rPr>
          <w:rtl w:val="0"/>
        </w:rPr>
      </w:r>
    </w:p>
    <w:p w:rsidR="00000000" w:rsidDel="00000000" w:rsidP="00000000" w:rsidRDefault="00000000" w:rsidRPr="00000000" w14:paraId="0000015F">
      <w:pPr>
        <w:spacing w:after="200" w:line="240" w:lineRule="auto"/>
        <w:jc w:val="both"/>
        <w:rPr>
          <w:rFonts w:ascii="Times New Roman" w:cs="Times New Roman" w:eastAsia="Times New Roman" w:hAnsi="Times New Roman"/>
          <w:sz w:val="24"/>
          <w:szCs w:val="24"/>
        </w:rPr>
      </w:pPr>
      <w:r w:rsidDel="00000000" w:rsidR="00000000" w:rsidRPr="00000000">
        <w:rPr>
          <w:rtl w:val="0"/>
        </w:rPr>
      </w:r>
    </w:p>
    <w:sectPr>
      <w:type w:val="nextPage"/>
      <w:pgSz w:h="16838" w:w="11906" w:orient="portrait"/>
      <w:pgMar w:bottom="283" w:top="1133" w:left="1984"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Luiz Francisco A. Soeiro de Faria" w:id="2" w:date="2022-11-16T12:53:20Z">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Desvio de finalidade ou confusão patrimonial.</w:t>
      </w:r>
    </w:p>
  </w:comment>
  <w:comment w:author="Joao Fernando Alves Palomo" w:id="0" w:date="2022-11-14T13:11:47Z">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Bom texto, adequada fundamentação doutrinária, mas sofrível na jurisprudência, algumas que não tem relação nenhuma com a questão da inelegibilidade por motivo de parentesco.</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Mas o bom texto compensa.</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 w:author="Luiz Francisco A. Soeiro de Faria" w:id="3" w:date="2022-11-16T12:53:44Z">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Palavra utilizada de forma errada.</w:t>
      </w:r>
    </w:p>
  </w:comment>
  <w:comment w:author="Luiz Francisco A. Soeiro de Faria" w:id="4" w:date="2022-11-16T12:54:12Z">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w:t>
      </w:r>
    </w:p>
  </w:comment>
  <w:comment w:author="Rosana Ribeiro da Silva" w:id="1" w:date="2022-11-11T23:23:18Z">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faltou apenas dizer que ele pode pedir para que seja virtual.</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Mas muito boa a resposta e muito bem fundamentada.</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 em processo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6D" w15:done="0"/>
  <w15:commentEx w15:paraId="00000170" w15:done="0"/>
  <w15:commentEx w15:paraId="00000171" w15:done="0"/>
  <w15:commentEx w15:paraId="00000172" w15:done="0"/>
  <w15:commentEx w15:paraId="00000176"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6">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7">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8">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9">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A">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B">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0">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1">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2">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63">
          <w:pPr>
            <w:tabs>
              <w:tab w:val="center" w:pos="4252"/>
              <w:tab w:val="right" w:pos="8504"/>
            </w:tabs>
            <w:rPr/>
          </w:pPr>
          <w:r w:rsidDel="00000000" w:rsidR="00000000" w:rsidRPr="00000000">
            <w:rPr/>
            <w:drawing>
              <wp:inline distB="114300" distT="114300" distL="114300" distR="114300">
                <wp:extent cx="966788" cy="287734"/>
                <wp:effectExtent b="0" l="0" r="0" t="0"/>
                <wp:docPr id="36"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64">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65">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6"/>
    <w:pPr>
      <w:spacing w:after="0" w:line="240" w:lineRule="auto"/>
    </w:pPr>
    <w:tblPr>
      <w:tblStyleRowBandSize w:val="1"/>
      <w:tblStyleColBandSize w:val="1"/>
      <w:tblCellMar>
        <w:left w:w="108.0" w:type="dxa"/>
        <w:right w:w="108.0" w:type="dxa"/>
      </w:tblCellMar>
    </w:tblPr>
  </w:style>
  <w:style w:type="table" w:styleId="a0" w:customStyle="1">
    <w:basedOn w:val="TableNormal6"/>
    <w:pPr>
      <w:spacing w:after="0" w:line="240" w:lineRule="auto"/>
    </w:pPr>
    <w:tblPr>
      <w:tblStyleRowBandSize w:val="1"/>
      <w:tblStyleColBandSize w:val="1"/>
      <w:tblCellMar>
        <w:left w:w="108.0" w:type="dxa"/>
        <w:right w:w="108.0" w:type="dxa"/>
      </w:tblCellMar>
    </w:tblPr>
  </w:style>
  <w:style w:type="table" w:styleId="a1" w:customStyle="1">
    <w:basedOn w:val="TableNormal6"/>
    <w:pPr>
      <w:spacing w:after="0" w:line="240" w:lineRule="auto"/>
    </w:pPr>
    <w:tblPr>
      <w:tblStyleRowBandSize w:val="1"/>
      <w:tblStyleColBandSize w:val="1"/>
      <w:tblCellMar>
        <w:left w:w="108.0" w:type="dxa"/>
        <w:right w:w="108.0" w:type="dxa"/>
      </w:tblCellMar>
    </w:tblPr>
  </w:style>
  <w:style w:type="table" w:styleId="a2" w:customStyle="1">
    <w:basedOn w:val="TableNormal6"/>
    <w:pPr>
      <w:spacing w:after="0" w:line="240" w:lineRule="auto"/>
    </w:pPr>
    <w:tblPr>
      <w:tblStyleRowBandSize w:val="1"/>
      <w:tblStyleColBandSize w:val="1"/>
      <w:tblCellMar>
        <w:left w:w="108.0" w:type="dxa"/>
        <w:right w:w="108.0" w:type="dxa"/>
      </w:tblCellMar>
    </w:tblPr>
  </w:style>
  <w:style w:type="table" w:styleId="a3" w:customStyle="1">
    <w:basedOn w:val="TableNormal6"/>
    <w:pPr>
      <w:spacing w:after="0" w:line="240" w:lineRule="auto"/>
    </w:pPr>
    <w:tblPr>
      <w:tblStyleRowBandSize w:val="1"/>
      <w:tblStyleColBandSize w:val="1"/>
      <w:tblCellMar>
        <w:left w:w="108.0" w:type="dxa"/>
        <w:right w:w="108.0" w:type="dxa"/>
      </w:tblCellMar>
    </w:tblPr>
  </w:style>
  <w:style w:type="table" w:styleId="a4" w:customStyle="1">
    <w:basedOn w:val="TableNormal6"/>
    <w:pPr>
      <w:spacing w:after="0" w:line="240" w:lineRule="auto"/>
    </w:pPr>
    <w:tblPr>
      <w:tblStyleRowBandSize w:val="1"/>
      <w:tblStyleColBandSize w:val="1"/>
      <w:tblCellMar>
        <w:left w:w="108.0" w:type="dxa"/>
        <w:right w:w="108.0" w:type="dxa"/>
      </w:tblCellMar>
    </w:tblPr>
  </w:style>
  <w:style w:type="table" w:styleId="a5" w:customStyle="1">
    <w:basedOn w:val="TableNormal6"/>
    <w:pPr>
      <w:spacing w:after="0" w:line="240" w:lineRule="auto"/>
    </w:pPr>
    <w:tblPr>
      <w:tblStyleRowBandSize w:val="1"/>
      <w:tblStyleColBandSize w:val="1"/>
      <w:tblCellMar>
        <w:left w:w="108.0" w:type="dxa"/>
        <w:right w:w="108.0" w:type="dxa"/>
      </w:tblCellMar>
    </w:tblPr>
  </w:style>
  <w:style w:type="table" w:styleId="a6" w:customStyle="1">
    <w:basedOn w:val="TableNormal6"/>
    <w:pPr>
      <w:spacing w:after="0" w:line="240" w:lineRule="auto"/>
    </w:pPr>
    <w:tblPr>
      <w:tblStyleRowBandSize w:val="1"/>
      <w:tblStyleColBandSize w:val="1"/>
      <w:tblCellMar>
        <w:left w:w="108.0" w:type="dxa"/>
        <w:right w:w="108.0" w:type="dxa"/>
      </w:tblCellMar>
    </w:tblPr>
  </w:style>
  <w:style w:type="table" w:styleId="a7"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6"/>
    <w:pPr>
      <w:spacing w:after="0" w:line="240" w:lineRule="auto"/>
    </w:pPr>
    <w:tblPr>
      <w:tblStyleRowBandSize w:val="1"/>
      <w:tblStyleColBandSize w:val="1"/>
      <w:tblCellMar>
        <w:left w:w="108.0" w:type="dxa"/>
        <w:right w:w="108.0" w:type="dxa"/>
      </w:tblCellMar>
    </w:tblPr>
  </w:style>
  <w:style w:type="table" w:styleId="a9" w:customStyle="1">
    <w:basedOn w:val="TableNormal6"/>
    <w:pPr>
      <w:spacing w:after="0" w:line="240" w:lineRule="auto"/>
    </w:pPr>
    <w:tblPr>
      <w:tblStyleRowBandSize w:val="1"/>
      <w:tblStyleColBandSize w:val="1"/>
      <w:tblCellMar>
        <w:left w:w="108.0" w:type="dxa"/>
        <w:right w:w="108.0" w:type="dxa"/>
      </w:tblCellMar>
    </w:tblPr>
  </w:style>
  <w:style w:type="table" w:styleId="aa"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4"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5"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3.xml"/><Relationship Id="rId14" Type="http://schemas.openxmlformats.org/officeDocument/2006/relationships/header" Target="header3.xml"/><Relationship Id="rId16" Type="http://schemas.openxmlformats.org/officeDocument/2006/relationships/footer" Target="footer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7r7ZvSoYfkz4Y9jtWoxOatiH4QQ==">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2022-11-11T22:31:00Z</dcterms:created>
  <dc:creator>Rosana Silva</dc:creator>
</cp:coreProperties>
</file>