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F63B0" w:rsidRDefault="00BF63B0">
      <w:pPr>
        <w:tabs>
          <w:tab w:val="center" w:pos="4252"/>
          <w:tab w:val="right" w:pos="8504"/>
        </w:tabs>
        <w:spacing w:before="709" w:after="0" w:line="240" w:lineRule="auto"/>
      </w:pPr>
      <w:bookmarkStart w:id="0" w:name="_gjdgxs" w:colFirst="0" w:colLast="0"/>
      <w:bookmarkEnd w:id="0"/>
    </w:p>
    <w:p w:rsidR="00BF63B0" w:rsidRDefault="00BF63B0"/>
    <w:p w:rsidR="00BF63B0" w:rsidRDefault="00BF63B0"/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UNIFEOB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ESCOLA DE NEGÓCIOS ONLINE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MARKETING</w:t>
      </w: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PROJETO INTEGRADO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>ORÇAMENTO EMPRESARIAL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COCA-COLA ANDINA BRASIL</w:t>
      </w: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815EC9" w:rsidRDefault="00815EC9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SÃO JOÃO DA BOA VISTA, SP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ABRIL, 2019</w:t>
      </w:r>
      <w:r>
        <w:br w:type="page"/>
      </w:r>
    </w:p>
    <w:p w:rsidR="00BF63B0" w:rsidRDefault="00BF63B0">
      <w:pPr>
        <w:jc w:val="center"/>
        <w:rPr>
          <w:rFonts w:ascii="Times New Roman" w:eastAsia="Times New Roman" w:hAnsi="Times New Roman" w:cs="Times New Roman"/>
        </w:rPr>
      </w:pPr>
    </w:p>
    <w:p w:rsidR="00BF63B0" w:rsidRDefault="00BF63B0">
      <w:pPr>
        <w:rPr>
          <w:rFonts w:ascii="Times New Roman" w:eastAsia="Times New Roman" w:hAnsi="Times New Roman" w:cs="Times New Roman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UNIFEOB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ESCOLA DE NEGÓCIOS ONLINE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MARKETING</w:t>
      </w:r>
    </w:p>
    <w:p w:rsidR="00BF63B0" w:rsidRDefault="00BF63B0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BF63B0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PROJETO INTEGRADO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>ORÇAMENTO EMPRESARIAL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COCA-COLA ANDINA BRASIL</w:t>
      </w:r>
    </w:p>
    <w:p w:rsidR="00BF63B0" w:rsidRDefault="00BF63B0">
      <w:pPr>
        <w:jc w:val="center"/>
        <w:rPr>
          <w:rFonts w:ascii="Times New Roman" w:eastAsia="Times New Roman" w:hAnsi="Times New Roman" w:cs="Times New Roman"/>
        </w:rPr>
      </w:pPr>
    </w:p>
    <w:p w:rsidR="00BF63B0" w:rsidRDefault="00181CCF">
      <w:pPr>
        <w:ind w:left="708" w:firstLine="708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MÓDULO 05</w:t>
      </w:r>
    </w:p>
    <w:p w:rsidR="004620DB" w:rsidRDefault="004620DB" w:rsidP="004620DB">
      <w:pPr>
        <w:pBdr>
          <w:top w:val="nil"/>
          <w:left w:val="nil"/>
          <w:bottom w:val="nil"/>
          <w:right w:val="nil"/>
          <w:between w:val="nil"/>
        </w:pBdr>
        <w:ind w:left="1416" w:firstLine="2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GESTÃO ORÇAMENTÁRIA – PROF. DANILO MORAIS DOVAL</w:t>
      </w:r>
    </w:p>
    <w:p w:rsidR="004620DB" w:rsidRDefault="004620DB" w:rsidP="004620DB">
      <w:pPr>
        <w:pBdr>
          <w:top w:val="nil"/>
          <w:left w:val="nil"/>
          <w:bottom w:val="nil"/>
          <w:right w:val="nil"/>
          <w:between w:val="nil"/>
        </w:pBdr>
        <w:ind w:left="141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GESTÃO ESTRATÉGICA DE TRIBUTOS – PROF. DANILO MORAIS DOVAL</w:t>
      </w:r>
    </w:p>
    <w:p w:rsidR="00BF63B0" w:rsidRDefault="00BF63B0" w:rsidP="004620D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spacing w:after="0"/>
        <w:ind w:left="35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Estudantes:</w:t>
      </w:r>
    </w:p>
    <w:p w:rsidR="00BF63B0" w:rsidRDefault="00181CCF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Aimê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Ferreira Bolzan, RA 1012019100035.</w:t>
      </w:r>
    </w:p>
    <w:p w:rsidR="00BF63B0" w:rsidRDefault="00181CCF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Diego de Souza Dionísio, RA 1012019100207.</w:t>
      </w:r>
    </w:p>
    <w:p w:rsidR="00BF63B0" w:rsidRDefault="00181CCF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Juliana Cristina de Andrade, RA 1012019100460.</w:t>
      </w:r>
    </w:p>
    <w:p w:rsidR="00BF63B0" w:rsidRDefault="00181CCF">
      <w:pPr>
        <w:spacing w:after="0"/>
        <w:ind w:left="2112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Sandra Regina Macedo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Mazetto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RA 1012019100456.</w:t>
      </w:r>
    </w:p>
    <w:p w:rsidR="00815EC9" w:rsidRDefault="00815EC9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SÃO JOÃO DA BOA VISTA, SP</w:t>
      </w:r>
    </w:p>
    <w:p w:rsidR="00BF63B0" w:rsidRDefault="00181CCF">
      <w:pPr>
        <w:jc w:val="center"/>
        <w:rPr>
          <w:rFonts w:ascii="Times New Roman" w:eastAsia="Times New Roman" w:hAnsi="Times New Roman" w:cs="Times New Roman"/>
          <w:sz w:val="24"/>
          <w:szCs w:val="24"/>
        </w:rPr>
        <w:sectPr w:rsidR="00BF63B0">
          <w:headerReference w:type="default" r:id="rId8"/>
          <w:footerReference w:type="default" r:id="rId9"/>
          <w:headerReference w:type="first" r:id="rId10"/>
          <w:pgSz w:w="11906" w:h="16838"/>
          <w:pgMar w:top="1418" w:right="1701" w:bottom="1418" w:left="1701" w:header="0" w:footer="720" w:gutter="0"/>
          <w:pgNumType w:start="0"/>
          <w:cols w:space="720" w:equalWidth="0">
            <w:col w:w="8838"/>
          </w:cols>
          <w:titlePg/>
        </w:sectPr>
      </w:pPr>
      <w:r>
        <w:rPr>
          <w:rFonts w:ascii="Times New Roman" w:eastAsia="Times New Roman" w:hAnsi="Times New Roman" w:cs="Times New Roman"/>
          <w:sz w:val="24"/>
          <w:szCs w:val="24"/>
        </w:rPr>
        <w:t>ABRIL, 2019</w:t>
      </w:r>
      <w:r>
        <w:br w:type="page"/>
      </w:r>
    </w:p>
    <w:p w:rsidR="00BF63B0" w:rsidRDefault="00BF63B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>SUMÁRIO</w:t>
      </w:r>
    </w:p>
    <w:p w:rsidR="00BF63B0" w:rsidRDefault="00BF63B0">
      <w:pPr>
        <w:keepNext/>
        <w:keepLines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dt>
      <w:sdtPr>
        <w:id w:val="970557940"/>
        <w:docPartObj>
          <w:docPartGallery w:val="Table of Contents"/>
          <w:docPartUnique/>
        </w:docPartObj>
      </w:sdtPr>
      <w:sdtEndPr>
        <w:rPr>
          <w:rFonts w:ascii="Calibri" w:eastAsia="Calibri" w:hAnsi="Calibri" w:cs="Calibri"/>
          <w:b/>
          <w:bCs/>
          <w:color w:val="auto"/>
          <w:sz w:val="22"/>
          <w:szCs w:val="22"/>
        </w:rPr>
      </w:sdtEndPr>
      <w:sdtContent>
        <w:p w:rsidR="00815EC9" w:rsidRPr="00815EC9" w:rsidRDefault="00815EC9">
          <w:pPr>
            <w:pStyle w:val="CabealhodoSumrio"/>
            <w:rPr>
              <w:rFonts w:ascii="Times New Roman" w:hAnsi="Times New Roman" w:cs="Times New Roman"/>
              <w:sz w:val="36"/>
            </w:rPr>
          </w:pPr>
        </w:p>
        <w:p w:rsidR="00815EC9" w:rsidRPr="00815EC9" w:rsidRDefault="00815EC9">
          <w:pPr>
            <w:pStyle w:val="Sumrio1"/>
            <w:tabs>
              <w:tab w:val="left" w:pos="44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r w:rsidRPr="00815EC9">
            <w:rPr>
              <w:rFonts w:ascii="Times New Roman" w:hAnsi="Times New Roman" w:cs="Times New Roman"/>
              <w:sz w:val="24"/>
            </w:rPr>
            <w:fldChar w:fldCharType="begin"/>
          </w:r>
          <w:r w:rsidRPr="00815EC9">
            <w:rPr>
              <w:rFonts w:ascii="Times New Roman" w:hAnsi="Times New Roman" w:cs="Times New Roman"/>
              <w:sz w:val="24"/>
            </w:rPr>
            <w:instrText xml:space="preserve"> TOC \o "1-3" \h \z \u </w:instrText>
          </w:r>
          <w:r w:rsidRPr="00815EC9">
            <w:rPr>
              <w:rFonts w:ascii="Times New Roman" w:hAnsi="Times New Roman" w:cs="Times New Roman"/>
              <w:sz w:val="24"/>
            </w:rPr>
            <w:fldChar w:fldCharType="separate"/>
          </w:r>
          <w:hyperlink w:anchor="_Toc14170004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1.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INTRODUÇÃO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_Toc14170004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3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1"/>
            <w:tabs>
              <w:tab w:val="left" w:pos="44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05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2.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DESCRIÇÃO DA EMPRESA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_Toc14170005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4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1"/>
            <w:tabs>
              <w:tab w:val="left" w:pos="44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06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PROJETO INTEGRADO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_Toc14170006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5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2"/>
            <w:tabs>
              <w:tab w:val="left" w:pos="88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07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3.1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GESTÃO ORÇAMENTÁRIA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_Toc14170007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5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08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3.1.1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ORÇAMENTO DE VENDAS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_Toc14170008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5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09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3.1.2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ORÇAMENTO DAS DESPESAS OPERACIONAIS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_Toc14170009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6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0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3.1.3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ORÇAMENTO EMPRESARIAL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_Toc14170010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6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2"/>
            <w:tabs>
              <w:tab w:val="left" w:pos="88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1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3.2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GESTÃO ESTRATÉGICA DE TRIBUTOS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_Toc14170011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8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2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3.2.1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LUCRO REAL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_Toc14170012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9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3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3.2.2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LUCRO PRESUMIDO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_Toc14170013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9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3"/>
            <w:tabs>
              <w:tab w:val="left" w:pos="132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4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3.2.3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SIMPLES NACIONAL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_Toc14170014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10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Pr="00815EC9" w:rsidRDefault="00815EC9">
          <w:pPr>
            <w:pStyle w:val="Sumrio1"/>
            <w:tabs>
              <w:tab w:val="left" w:pos="440"/>
              <w:tab w:val="right" w:leader="dot" w:pos="8828"/>
            </w:tabs>
            <w:rPr>
              <w:rFonts w:ascii="Times New Roman" w:hAnsi="Times New Roman" w:cs="Times New Roman"/>
              <w:noProof/>
              <w:sz w:val="24"/>
            </w:rPr>
          </w:pPr>
          <w:hyperlink w:anchor="_Toc14170015" w:history="1"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4.</w:t>
            </w:r>
            <w:r w:rsidRPr="00815EC9">
              <w:rPr>
                <w:rFonts w:ascii="Times New Roman" w:hAnsi="Times New Roman" w:cs="Times New Roman"/>
                <w:noProof/>
                <w:sz w:val="24"/>
              </w:rPr>
              <w:tab/>
            </w:r>
            <w:r w:rsidRPr="00815EC9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</w:rPr>
              <w:t>CONCLUSÃO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_Toc14170015 \h </w:instrTex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t>13</w:t>
            </w:r>
            <w:r w:rsidRPr="00815EC9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815EC9" w:rsidRDefault="00815EC9">
          <w:r w:rsidRPr="00815EC9">
            <w:rPr>
              <w:rFonts w:ascii="Times New Roman" w:hAnsi="Times New Roman" w:cs="Times New Roman"/>
              <w:b/>
              <w:bCs/>
              <w:sz w:val="24"/>
            </w:rPr>
            <w:fldChar w:fldCharType="end"/>
          </w:r>
        </w:p>
      </w:sdtContent>
    </w:sdt>
    <w:p w:rsidR="00BF63B0" w:rsidRDefault="00BF63B0">
      <w:pPr>
        <w:jc w:val="both"/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181CCF">
      <w:pPr>
        <w:widowControl w:val="0"/>
        <w:spacing w:after="0"/>
        <w:rPr>
          <w:rFonts w:ascii="Times New Roman" w:eastAsia="Times New Roman" w:hAnsi="Times New Roman" w:cs="Times New Roman"/>
          <w:sz w:val="36"/>
          <w:szCs w:val="36"/>
        </w:rPr>
        <w:sectPr w:rsidR="00BF63B0">
          <w:type w:val="continuous"/>
          <w:pgSz w:w="11906" w:h="16838"/>
          <w:pgMar w:top="1418" w:right="1701" w:bottom="1418" w:left="1701" w:header="0" w:footer="720" w:gutter="0"/>
          <w:cols w:space="720" w:equalWidth="0">
            <w:col w:w="8838"/>
          </w:cols>
        </w:sectPr>
      </w:pPr>
      <w:r>
        <w:br w:type="page"/>
      </w:r>
    </w:p>
    <w:p w:rsidR="00BF63B0" w:rsidRDefault="00181CCF" w:rsidP="00815EC9">
      <w:pPr>
        <w:pStyle w:val="Ttulo1"/>
        <w:numPr>
          <w:ilvl w:val="0"/>
          <w:numId w:val="1"/>
        </w:numPr>
        <w:ind w:left="426" w:hanging="426"/>
        <w:rPr>
          <w:rFonts w:ascii="Times New Roman" w:eastAsia="Times New Roman" w:hAnsi="Times New Roman" w:cs="Times New Roman"/>
          <w:sz w:val="36"/>
          <w:szCs w:val="36"/>
        </w:rPr>
      </w:pPr>
      <w:bookmarkStart w:id="1" w:name="_Toc14170004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INTRODUÇÃO</w:t>
      </w:r>
      <w:bookmarkEnd w:id="1"/>
    </w:p>
    <w:p w:rsidR="00BF63B0" w:rsidRPr="00815EC9" w:rsidRDefault="00181CCF" w:rsidP="00815EC9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</w:rPr>
      </w:pPr>
      <w:r w:rsidRPr="00815EC9">
        <w:rPr>
          <w:rFonts w:ascii="Times New Roman" w:hAnsi="Times New Roman" w:cs="Times New Roman"/>
          <w:sz w:val="24"/>
        </w:rPr>
        <w:t>Uma boa gestão é formada por vários fatores cruciais que compõe um empreendimento, e que o faça crescer sem limites. Quando esses fatores são postos em prática, nossas chances de irmos mais longe com nossas ideias e projetos são ilimitados. Mas na maioria das tentando seguir caminhos mais fáceis e sem conhecimento a nossa realidade, acabamos infelizes em nossos projetos e realizações.</w:t>
      </w:r>
    </w:p>
    <w:p w:rsidR="00BF63B0" w:rsidRPr="00815EC9" w:rsidRDefault="00181CCF" w:rsidP="00815EC9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</w:rPr>
      </w:pPr>
      <w:r w:rsidRPr="00815EC9">
        <w:rPr>
          <w:rFonts w:ascii="Times New Roman" w:hAnsi="Times New Roman" w:cs="Times New Roman"/>
          <w:sz w:val="24"/>
        </w:rPr>
        <w:t>A questão é qual sistema tributário que nossa empresa se enquadra e como podemos nos adequar ao CTN (Código Tributário Nacional).</w:t>
      </w:r>
    </w:p>
    <w:p w:rsidR="00BF63B0" w:rsidRPr="00815EC9" w:rsidRDefault="00181CCF" w:rsidP="00815EC9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</w:rPr>
      </w:pPr>
      <w:r w:rsidRPr="00815EC9">
        <w:rPr>
          <w:rFonts w:ascii="Times New Roman" w:hAnsi="Times New Roman" w:cs="Times New Roman"/>
          <w:sz w:val="24"/>
        </w:rPr>
        <w:t>A COCA-COLA ANDINA BRASIL se enquadra no regime tributário do lucro real, e analisado em balancetes trimestrais, são avaliadas quanto de tributos terá de arcar.</w:t>
      </w:r>
    </w:p>
    <w:p w:rsidR="00BF63B0" w:rsidRDefault="00181CCF" w:rsidP="00815EC9">
      <w:pPr>
        <w:pStyle w:val="SemEspaamento"/>
        <w:spacing w:line="360" w:lineRule="auto"/>
        <w:ind w:firstLine="720"/>
        <w:jc w:val="both"/>
      </w:pPr>
      <w:r w:rsidRPr="00815EC9">
        <w:rPr>
          <w:rFonts w:ascii="Times New Roman" w:hAnsi="Times New Roman" w:cs="Times New Roman"/>
          <w:sz w:val="24"/>
        </w:rPr>
        <w:t>Quando falamos de sistemas tributários, podemos destacar que para cada empreendimento, existe um tipo de sistema que se encaixa perfeitamente para sua empresa</w:t>
      </w:r>
      <w:r>
        <w:t>.</w:t>
      </w:r>
    </w:p>
    <w:p w:rsidR="00BF63B0" w:rsidRDefault="00BF63B0"/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BF63B0" w:rsidRDefault="00181CCF" w:rsidP="00815EC9">
      <w:pPr>
        <w:pStyle w:val="Ttulo1"/>
        <w:numPr>
          <w:ilvl w:val="0"/>
          <w:numId w:val="1"/>
        </w:numPr>
        <w:ind w:left="284"/>
        <w:rPr>
          <w:rFonts w:ascii="Times New Roman" w:eastAsia="Times New Roman" w:hAnsi="Times New Roman" w:cs="Times New Roman"/>
          <w:sz w:val="36"/>
          <w:szCs w:val="36"/>
        </w:rPr>
      </w:pPr>
      <w:bookmarkStart w:id="2" w:name="_Toc14170005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DESCRIÇÃO DA EMPRESA</w:t>
      </w:r>
      <w:bookmarkEnd w:id="2"/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COCA-COLA ANDINA BRASIL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Razão social: Rio de Janeiro refrescos LTDA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CNPJ: 00.074.569/0001-00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Endereço: Rua André Rocha, 2299.  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CEP: 22710-561 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Bairro: Jacarepaguá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Município: Rio de janeiro</w:t>
      </w:r>
    </w:p>
    <w:p w:rsidR="00BF63B0" w:rsidRDefault="00181CCF" w:rsidP="00815EC9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Estado: Rio de janeiro</w:t>
      </w: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COCA-COLA ANDINA BRASIL atua no segmento de bebidas, como refrigerantes, sucos, água mineral,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energéticos chás e bebidas esportivas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Consideramos que não há limites para atingir a excelência nas nossas atividades. Devemos deixar tudo melhor do que estava e estabelecer os mais altos padrões para os nossos produtos, nosso pessoal e nosso desempenho. </w:t>
      </w: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Pr="00815EC9" w:rsidRDefault="00181CCF" w:rsidP="00815EC9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BF63B0" w:rsidRDefault="00181CCF">
      <w:pPr>
        <w:pStyle w:val="Ttulo1"/>
        <w:numPr>
          <w:ilvl w:val="0"/>
          <w:numId w:val="1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3" w:name="_Toc14170006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PROJETO INTEGRADO</w:t>
      </w:r>
      <w:bookmarkEnd w:id="3"/>
    </w:p>
    <w:p w:rsidR="00815EC9" w:rsidRDefault="00181CCF" w:rsidP="00815EC9">
      <w:pPr>
        <w:pStyle w:val="Ttulo2"/>
        <w:numPr>
          <w:ilvl w:val="1"/>
          <w:numId w:val="2"/>
        </w:numPr>
        <w:rPr>
          <w:rFonts w:ascii="Times New Roman" w:eastAsia="Times New Roman" w:hAnsi="Times New Roman" w:cs="Times New Roman"/>
        </w:rPr>
      </w:pPr>
      <w:bookmarkStart w:id="4" w:name="_Toc14170007"/>
      <w:r>
        <w:rPr>
          <w:rFonts w:ascii="Times New Roman" w:eastAsia="Times New Roman" w:hAnsi="Times New Roman" w:cs="Times New Roman"/>
        </w:rPr>
        <w:t>GESTÃO ORÇAMENTÁRIA</w:t>
      </w:r>
      <w:bookmarkEnd w:id="4"/>
    </w:p>
    <w:p w:rsidR="00815EC9" w:rsidRPr="00815EC9" w:rsidRDefault="00815EC9" w:rsidP="00815EC9">
      <w:pPr>
        <w:rPr>
          <w:sz w:val="20"/>
        </w:rPr>
      </w:pP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Gestão Orçamentária por sua vez, tem um papel muito importante para a empresa, servindo como um balizador na hora da verificação de gastos realizados pela empresa periodicamente. O orçamento consiste em uma série de previsões que serão feitas com base no que se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espera acontecer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em cada setor e no mercado em geral.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empresa bem organizada sabe da importância e das vantagens de um bom planejamento de suas atividades em busca de seus objetivos.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Um verdadeiro orçamento envolve todos os funcionários da empresa, principalmente gerentes e supervisores, pois são estes que irão fazer acontecer (SITE: </w:t>
      </w:r>
      <w:hyperlink r:id="rId11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www.ECRconsultoria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5" w:name="_Toc14170008"/>
      <w:r>
        <w:rPr>
          <w:rFonts w:ascii="Times New Roman" w:eastAsia="Times New Roman" w:hAnsi="Times New Roman" w:cs="Times New Roman"/>
          <w:sz w:val="32"/>
          <w:szCs w:val="32"/>
        </w:rPr>
        <w:t>ORÇAMENTO DE VENDAS</w:t>
      </w:r>
      <w:bookmarkEnd w:id="5"/>
    </w:p>
    <w:p w:rsidR="00BF63B0" w:rsidRPr="00815EC9" w:rsidRDefault="00BF63B0">
      <w:pPr>
        <w:rPr>
          <w:sz w:val="20"/>
        </w:rPr>
      </w:pP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Tão necessária, mas muitas vezes ignorada pelos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empresários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previsão de vendas é de muita importância para o planejamento de qualquer empresa, pois se trata de uma projeção do número de vendas que serão realizadas em determinado período de tempo.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Aqui se projeta a receita, que irá determinar as estratégias de vendas e programar as operações. Trata-se de uma antecipação da demanda tomando diversos fatores como base (como fatores mercadológicos, financeiros e econômicos, por exemplo).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responsabilidade pela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elaboração do orçamento de vendas cabe ao executivo máximo dessa área de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operações,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porém dada sua importância para toda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empresa,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cabe a diretoria sua revisão final e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aprovação.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Portanto, cabe aos empresários buscarem conhecimento e informações, para que não haja na empresa uma capacidade produtiva insuficiente, estrutura inadequada, pessoal não habilitado para os exercícios de suas funções e dificuldades na obtenção de fundos para o capital de giro.</w:t>
      </w:r>
    </w:p>
    <w:p w:rsidR="00BF63B0" w:rsidRDefault="00BF63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6" w:name="_Toc14170009"/>
      <w:r>
        <w:rPr>
          <w:rFonts w:ascii="Times New Roman" w:eastAsia="Times New Roman" w:hAnsi="Times New Roman" w:cs="Times New Roman"/>
          <w:sz w:val="32"/>
          <w:szCs w:val="32"/>
        </w:rPr>
        <w:lastRenderedPageBreak/>
        <w:t>ORÇAMENTO DAS DESPESAS OPERACIONAIS</w:t>
      </w:r>
      <w:bookmarkEnd w:id="6"/>
    </w:p>
    <w:p w:rsidR="00BF63B0" w:rsidRDefault="00BF63B0"/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Orçamento de despesas operacionais se ressalta, pelo fato de reconhecer os gastos que a organização terá para a produção e comercialização de seus produtos.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As despesas operacionais são o resultado da consolidação das despesas administrativas, comerciais, tributarias e financeiras que a empresa deverá arcar por um determinado período projetado.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Neste processo, podemos comentar as seguintes projeções de despesas como: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a) PIS /COFINS /INSS /FGTS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b) Imposto de Renda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c) Taxa de licença de uso, de água, energia e lixo, dentre outros tributos.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principal objetivo de prever lucros e despesas (</w:t>
      </w:r>
      <w:hyperlink r:id="rId12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www.blog.finanças360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) é se adiantar ao futuro.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Quando se entende bem sua projeção, conseguimos nos preparar melhor para possíveis crises no mercado, organizar as despesas, alocar recursos nas áreas certas sem perdas ou danos.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Um sistema financeiro eficiente depende da capacidade de controlar todas as informações pertinentes ao negócio. 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Por isso, acompanhar as contas a pagar e receber, faturamento diário e mensal, despesas fixas e outros compromissos financeiros ajudam a visualizar o passado e se projetar para o futuro. Sendo assim, podemos afirmar que sem a projeção das despesas é praticamente impossível de se elaborar um orçamento eficaz.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7" w:name="_Toc14170010"/>
      <w:r>
        <w:rPr>
          <w:rFonts w:ascii="Times New Roman" w:eastAsia="Times New Roman" w:hAnsi="Times New Roman" w:cs="Times New Roman"/>
          <w:sz w:val="32"/>
          <w:szCs w:val="32"/>
        </w:rPr>
        <w:t>ORÇAMENTO EMPRESARIAL</w:t>
      </w:r>
      <w:bookmarkEnd w:id="7"/>
    </w:p>
    <w:p w:rsidR="00BF63B0" w:rsidRDefault="00BF63B0"/>
    <w:tbl>
      <w:tblPr>
        <w:tblStyle w:val="a"/>
        <w:tblW w:w="9742" w:type="dxa"/>
        <w:tblInd w:w="-10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3"/>
        <w:gridCol w:w="1512"/>
        <w:gridCol w:w="1512"/>
        <w:gridCol w:w="1121"/>
        <w:gridCol w:w="1512"/>
        <w:gridCol w:w="1112"/>
      </w:tblGrid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Coca-Cola Andina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 º trimestre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 º trimestre</w:t>
            </w:r>
          </w:p>
        </w:tc>
        <w:tc>
          <w:tcPr>
            <w:tcW w:w="1121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1º trimestre</w:t>
            </w:r>
          </w:p>
        </w:tc>
        <w:tc>
          <w:tcPr>
            <w:tcW w:w="1112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($ em milhões)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2017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2018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Variação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2019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Variação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Caixas Unitárias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                 246,71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              248,90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100,89%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              256,37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103,00%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Valor da caixa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R$ 9,22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R$ 2,17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23,54%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R$ 2,28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105,00%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21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12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Receita Líquida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 2.275,57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 540,51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23,75%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R$ 584,56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108,15%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Custo de Venda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R$ 362,69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R$ 329,53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90,86%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R$ 371,35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112,69%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Lucro Bruto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R$ 2.638,26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R$ 870,04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32,98%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R$ 955,92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109,87%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BF63B0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121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112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Despesas com vendas Gerais e Administrativas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R$(14.539,30)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R$(14.833,20)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102,02%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R$(15.133,04)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102,02%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Outras receitas/despesas operacionais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R$ 1.217,30 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R$ 947,30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77,82%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R$ 737,19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77,82%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Lucro Operacional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R$(10.683,74)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R$(13.015,86)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121,83%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R$(13.439,94)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103,26%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BF63B0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121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112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EBTIDA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(108,70)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R$ 166,70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-153,36%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(255,65)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-153,36%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Resultado financeiro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(3.493,90)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R$ 124,70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-3,57%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(4,45)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-3,57%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Particip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Resultados de empreendimentos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(3,10)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R$ 1,00 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32,26%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R$ 0,32 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32,26%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Imposto de Renda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(5.079,30)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R$(1.789,60)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35,23%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R$ (1.789,60)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100,00%</w:t>
            </w: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21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12" w:type="dxa"/>
            <w:vAlign w:val="bottom"/>
          </w:tcPr>
          <w:p w:rsidR="00BF63B0" w:rsidRDefault="00BF63B0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F63B0">
        <w:trPr>
          <w:trHeight w:val="300"/>
        </w:trPr>
        <w:tc>
          <w:tcPr>
            <w:tcW w:w="2973" w:type="dxa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Lucro Líquido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R$(19.368,74)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R$(14.513,06)</w:t>
            </w:r>
          </w:p>
        </w:tc>
        <w:tc>
          <w:tcPr>
            <w:tcW w:w="1121" w:type="dxa"/>
            <w:vAlign w:val="bottom"/>
          </w:tcPr>
          <w:p w:rsidR="00BF63B0" w:rsidRDefault="00181CCF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74,93%</w:t>
            </w:r>
          </w:p>
        </w:tc>
        <w:tc>
          <w:tcPr>
            <w:tcW w:w="15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R$(15.489,31)</w:t>
            </w:r>
          </w:p>
        </w:tc>
        <w:tc>
          <w:tcPr>
            <w:tcW w:w="1112" w:type="dxa"/>
            <w:vAlign w:val="bottom"/>
          </w:tcPr>
          <w:p w:rsidR="00BF63B0" w:rsidRDefault="00181CCF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     106,73%</w:t>
            </w:r>
          </w:p>
        </w:tc>
      </w:tr>
    </w:tbl>
    <w:p w:rsidR="00BF63B0" w:rsidRDefault="00BF63B0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BF63B0" w:rsidRDefault="00181CCF">
      <w:pPr>
        <w:pStyle w:val="Ttulo2"/>
        <w:numPr>
          <w:ilvl w:val="1"/>
          <w:numId w:val="2"/>
        </w:numPr>
        <w:rPr>
          <w:rFonts w:ascii="Times New Roman" w:eastAsia="Times New Roman" w:hAnsi="Times New Roman" w:cs="Times New Roman"/>
        </w:rPr>
      </w:pPr>
      <w:bookmarkStart w:id="8" w:name="_Toc14170011"/>
      <w:r>
        <w:rPr>
          <w:rFonts w:ascii="Times New Roman" w:eastAsia="Times New Roman" w:hAnsi="Times New Roman" w:cs="Times New Roman"/>
        </w:rPr>
        <w:t>GESTÃO ESTRATÉGICA DE TRIBUTOS</w:t>
      </w:r>
      <w:bookmarkEnd w:id="8"/>
    </w:p>
    <w:p w:rsidR="00BF63B0" w:rsidRDefault="00BF63B0"/>
    <w:p w:rsidR="00BF63B0" w:rsidRDefault="00181CCF" w:rsidP="00815EC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sistema tributário no Brasil necessita de meios financeiros para garantir à ordem jurídica, a segurança, a defesa, a saúde pública e o 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bem-estar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social de todos (OLIVEIRA, 2009).</w:t>
      </w:r>
    </w:p>
    <w:p w:rsidR="00BF63B0" w:rsidRDefault="00181CCF" w:rsidP="00815EC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empresa COCA-COLA ANDINA BRASIL, se enquadra na base de cálculo do Lucro real, pois sua receita bruta ultrapassa os R$ 78.000.000,00 no calendário ano anterior. Conforme o art. 14 da Lei nº 9.718/98 </w:t>
      </w:r>
    </w:p>
    <w:p w:rsidR="00BF63B0" w:rsidRDefault="00181CCF" w:rsidP="00815EC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imposto será determinado com base no Lucro Real por períodos de apurações trimestrais. O regime de estimativas é a opção de pagamento mensal estimado do imposto de renda para fins de apuração do Lucro Real em balanço anual.</w:t>
      </w:r>
    </w:p>
    <w:p w:rsidR="00BF63B0" w:rsidRDefault="00181CCF" w:rsidP="00815EC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Atualmente o sistema tributário brasileiro e regido pela Emenda Constitucional nº 18 de 01 de dezembro de 1965, sendo regulamentada pela Lei n º 5.172, de outubro de 1966,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que recebe a denominação d</w:t>
      </w:r>
      <w:r w:rsidR="00815EC9">
        <w:rPr>
          <w:rFonts w:ascii="Times New Roman" w:eastAsia="Times New Roman" w:hAnsi="Times New Roman" w:cs="Times New Roman"/>
          <w:sz w:val="24"/>
          <w:szCs w:val="24"/>
        </w:rPr>
        <w:t>e Código Tributário Nacional (</w:t>
      </w:r>
      <w:r>
        <w:rPr>
          <w:rFonts w:ascii="Times New Roman" w:eastAsia="Times New Roman" w:hAnsi="Times New Roman" w:cs="Times New Roman"/>
          <w:sz w:val="24"/>
          <w:szCs w:val="24"/>
        </w:rPr>
        <w:t>CTN) pelo art.7º, do ato complementar nº 36, de 13 de março de 1967. Estas cargas tributárias são de diferentes esferas (Federal, Estadual e Municipal).</w:t>
      </w:r>
    </w:p>
    <w:p w:rsidR="00BF63B0" w:rsidRPr="00815EC9" w:rsidRDefault="00181CCF">
      <w:pPr>
        <w:ind w:left="720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“O universo tributário brasileiro e estufados de leis complicadas excessivas e lotadas de excepcionalidades, conturbando o ambiente de negócios para o empresariado e transferindo para os preços aos consumidores a carga tributária daí a carestia, que prejudica o crescimento econômico, tornando a onerosa para o </w:t>
      </w:r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contribuinte. ”</w:t>
      </w: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15EC9">
        <w:rPr>
          <w:rFonts w:ascii="Times New Roman" w:eastAsia="Times New Roman" w:hAnsi="Times New Roman" w:cs="Times New Roman"/>
          <w:sz w:val="24"/>
          <w:szCs w:val="24"/>
        </w:rPr>
        <w:t>( SACHA</w:t>
      </w:r>
      <w:proofErr w:type="gramEnd"/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, Calmon, fev. 2018) – </w:t>
      </w:r>
      <w:hyperlink r:id="rId13">
        <w:r w:rsidRPr="00815EC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www.Thomsonreuters.com.br</w:t>
        </w:r>
      </w:hyperlink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BF63B0" w:rsidRPr="00815EC9" w:rsidRDefault="00181CCF" w:rsidP="00815EC9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</w:rPr>
      </w:pPr>
      <w:r w:rsidRPr="00815EC9">
        <w:rPr>
          <w:rFonts w:ascii="Times New Roman" w:hAnsi="Times New Roman" w:cs="Times New Roman"/>
          <w:sz w:val="24"/>
        </w:rPr>
        <w:t>Com essa carga tributária que é repassada para a população, consequentemente prejudicara o consumo e afetará o crescimento industrial do país.</w:t>
      </w:r>
    </w:p>
    <w:p w:rsidR="00BF63B0" w:rsidRPr="00815EC9" w:rsidRDefault="00181CCF" w:rsidP="00815EC9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</w:rPr>
      </w:pPr>
      <w:r w:rsidRPr="00815EC9">
        <w:rPr>
          <w:rFonts w:ascii="Times New Roman" w:hAnsi="Times New Roman" w:cs="Times New Roman"/>
          <w:sz w:val="24"/>
        </w:rPr>
        <w:t xml:space="preserve">Enquanto não se reduz a carga tributária, cabe às companhias investir em planejamento tributário eficiente para diminuir os custos empresariais, sem deixar de pagar os impostos. </w:t>
      </w:r>
    </w:p>
    <w:p w:rsidR="00BF63B0" w:rsidRDefault="00BF63B0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9" w:name="_Toc14170012"/>
      <w:r>
        <w:rPr>
          <w:rFonts w:ascii="Times New Roman" w:eastAsia="Times New Roman" w:hAnsi="Times New Roman" w:cs="Times New Roman"/>
          <w:sz w:val="32"/>
          <w:szCs w:val="32"/>
        </w:rPr>
        <w:t>LUCRO REAL</w:t>
      </w:r>
      <w:bookmarkEnd w:id="9"/>
    </w:p>
    <w:p w:rsidR="00BF63B0" w:rsidRPr="00815EC9" w:rsidRDefault="00181CCF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O lucro líquido do período apurado se denomina Lucro Real. Conforme (Albert </w:t>
      </w:r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Jonatas. AJ</w:t>
      </w: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soluções,</w:t>
      </w: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You</w:t>
      </w:r>
      <w:proofErr w:type="spellEnd"/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 xml:space="preserve"> Tube)</w:t>
      </w: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 onde encontramos o lucro real para o pagamento dos </w:t>
      </w:r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impostos.</w:t>
      </w:r>
    </w:p>
    <w:p w:rsidR="00BF63B0" w:rsidRPr="00815EC9" w:rsidRDefault="00181CCF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>No Lucro Real podem determinar o lucro através do balanço anual, levantado 31 de dezembro ou através de balancetes trimestrais, segundo a Lei nº 9.430/1996.</w:t>
      </w:r>
    </w:p>
    <w:p w:rsidR="00BF63B0" w:rsidRPr="00815EC9" w:rsidRDefault="00181CCF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>O Lucro Líquido do período apurado, ajustados pelas adições, exclusões e comparações. (ART. 6º DECRETO Lei nº 1.598/77 e instrução normativa RFB (Receita Federal do Brasil) nº 1.700/17 ART. 61). Lembrando que alíquotas=IRPJ (Imposto Renda- Pessoa Jurídica) 15% mais o adicional de 10% sobre o excedente, e CSLL (Contribuição Social sobre Lucro Líquido) de 9%. (Portal Tributário, 2015) e (Portal Tributário, 2016d).</w:t>
      </w:r>
    </w:p>
    <w:p w:rsidR="00BF63B0" w:rsidRPr="00815EC9" w:rsidRDefault="00181CCF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>A opção e feita através do código de recolhimento- DARF (Documento de Arrecadação de Receitas Federais), e também obrigações a acessórias: SPED (Sistema Público de Escrituração Contábil) e ECF (Escrituração Contábil fiscal).</w:t>
      </w:r>
    </w:p>
    <w:p w:rsidR="00BF63B0" w:rsidRPr="00815EC9" w:rsidRDefault="00181CCF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>Contudo a obrigatoriedade conforme ART. 14 da Lei nº 9.718/98 estão obrigados às pessoas jurídicas cuja receita bruta do ano calendário anterior seja superior ao limite de R$78.000.000,00.</w:t>
      </w:r>
    </w:p>
    <w:p w:rsidR="00BF63B0" w:rsidRDefault="00181CCF" w:rsidP="00815EC9">
      <w:pPr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Assim, com a contabilidade fechada, atingindo o lucro apurado, podemos saber o quanto a empresa </w:t>
      </w:r>
      <w:r w:rsidR="00815EC9" w:rsidRPr="00815EC9">
        <w:rPr>
          <w:rFonts w:ascii="Times New Roman" w:eastAsia="Times New Roman" w:hAnsi="Times New Roman" w:cs="Times New Roman"/>
          <w:sz w:val="24"/>
          <w:szCs w:val="24"/>
        </w:rPr>
        <w:t>deverá</w:t>
      </w:r>
      <w:r w:rsidRPr="00815EC9">
        <w:rPr>
          <w:rFonts w:ascii="Times New Roman" w:eastAsia="Times New Roman" w:hAnsi="Times New Roman" w:cs="Times New Roman"/>
          <w:sz w:val="24"/>
          <w:szCs w:val="24"/>
        </w:rPr>
        <w:t xml:space="preserve"> arcar com os impostos.</w:t>
      </w: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10" w:name="_Toc14170013"/>
      <w:r>
        <w:rPr>
          <w:rFonts w:ascii="Times New Roman" w:eastAsia="Times New Roman" w:hAnsi="Times New Roman" w:cs="Times New Roman"/>
          <w:sz w:val="32"/>
          <w:szCs w:val="32"/>
        </w:rPr>
        <w:lastRenderedPageBreak/>
        <w:t>LUCRO PRESUMIDO</w:t>
      </w:r>
      <w:bookmarkEnd w:id="10"/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Lucro Presumido, como seu nome já diz, é o lucro determinado pelo percentual que irá ser aplicado (margem de presunção que é determinado pela legislação - CTB- Brasil, 2012, código tributário nacional).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(Instituição normativa nº 1.700/2017 art. 215) e art. 516, Decreto 3.000/99 (RIR/99).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É uma forma mais simples de indicar a base de cálculo do </w:t>
      </w:r>
      <w:r w:rsidR="00C40D0B">
        <w:rPr>
          <w:rFonts w:ascii="Times New Roman" w:eastAsia="Times New Roman" w:hAnsi="Times New Roman" w:cs="Times New Roman"/>
          <w:sz w:val="24"/>
          <w:szCs w:val="24"/>
        </w:rPr>
        <w:t>IRPJ (</w:t>
      </w:r>
      <w:r>
        <w:rPr>
          <w:rFonts w:ascii="Times New Roman" w:eastAsia="Times New Roman" w:hAnsi="Times New Roman" w:cs="Times New Roman"/>
          <w:sz w:val="24"/>
          <w:szCs w:val="24"/>
        </w:rPr>
        <w:t>Imposto de Renda – Pessoa Jurídica) e CSLL (Contribuição Social sobre o Lucro Líquido), utilizando o lucro presumido.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Não podemos esquecer a base de cálculo da CSLL que será de 12% sobre a receita bruta oferecida mensalmente e IRPJ será pago sobre a base de cálculo presumida conforme a receita de cada atividade da empresa (</w:t>
      </w:r>
      <w:hyperlink r:id="rId14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www.Portaltributario.com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).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apuração do Lucro Presumido deve ser trimestral (até o último dia de abril).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Uma observação importante sobre o (IRPJ) é que, se for exigida, será cobrada 10% sobre o excedente, caso ultrapasse o lucro de R$ 60.000,00 trimestral.</w:t>
      </w:r>
    </w:p>
    <w:p w:rsidR="00BF63B0" w:rsidRDefault="00181CC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AS ALÍQUOTAS DE PRESUNÇÃO PARA AS ATIVIDADES SÃO:</w:t>
      </w:r>
    </w:p>
    <w:p w:rsidR="00BF63B0" w:rsidRDefault="00BF63B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10632" w:type="dxa"/>
        <w:tblInd w:w="-1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52"/>
        <w:gridCol w:w="1692"/>
        <w:gridCol w:w="1843"/>
        <w:gridCol w:w="1442"/>
        <w:gridCol w:w="1818"/>
        <w:gridCol w:w="1985"/>
      </w:tblGrid>
      <w:tr w:rsidR="00BF63B0">
        <w:tc>
          <w:tcPr>
            <w:tcW w:w="10632" w:type="dxa"/>
            <w:gridSpan w:val="6"/>
          </w:tcPr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LUCRO PRESUMIDO</w:t>
            </w:r>
          </w:p>
        </w:tc>
      </w:tr>
      <w:tr w:rsidR="00BF63B0">
        <w:trPr>
          <w:trHeight w:val="840"/>
        </w:trPr>
        <w:tc>
          <w:tcPr>
            <w:tcW w:w="1852" w:type="dxa"/>
          </w:tcPr>
          <w:p w:rsidR="00BF63B0" w:rsidRDefault="00BF63B0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F63B0" w:rsidRDefault="00BF63B0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ATIVIDADE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RECEITA BRUTA</w:t>
            </w:r>
          </w:p>
        </w:tc>
        <w:tc>
          <w:tcPr>
            <w:tcW w:w="1843" w:type="dxa"/>
          </w:tcPr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ALÍQUOTA PRESUNÇÃO IRPJ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BASE IRPJ</w:t>
            </w:r>
          </w:p>
        </w:tc>
        <w:tc>
          <w:tcPr>
            <w:tcW w:w="1818" w:type="dxa"/>
          </w:tcPr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ALÍQUOTA PRESUNÇÃO CSLL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BASE CSLL</w:t>
            </w:r>
          </w:p>
        </w:tc>
      </w:tr>
      <w:tr w:rsidR="00BF63B0">
        <w:tc>
          <w:tcPr>
            <w:tcW w:w="1852" w:type="dxa"/>
          </w:tcPr>
          <w:p w:rsidR="00BF63B0" w:rsidRDefault="00181CCF">
            <w:pPr>
              <w:spacing w:before="2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Indústria e Comércio em Geral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100.000,00</w:t>
            </w:r>
          </w:p>
        </w:tc>
        <w:tc>
          <w:tcPr>
            <w:tcW w:w="1843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8%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8.000,00</w:t>
            </w:r>
          </w:p>
        </w:tc>
        <w:tc>
          <w:tcPr>
            <w:tcW w:w="1818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12%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12.000,00</w:t>
            </w:r>
          </w:p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F63B0">
        <w:tc>
          <w:tcPr>
            <w:tcW w:w="185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Serviços em Geral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100.000,00</w:t>
            </w:r>
          </w:p>
        </w:tc>
        <w:tc>
          <w:tcPr>
            <w:tcW w:w="1843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32%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32.000,00</w:t>
            </w:r>
          </w:p>
        </w:tc>
        <w:tc>
          <w:tcPr>
            <w:tcW w:w="1818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32%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32.000,00</w:t>
            </w:r>
          </w:p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BF63B0">
        <w:tc>
          <w:tcPr>
            <w:tcW w:w="1852" w:type="dxa"/>
          </w:tcPr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Serviços Hospitalares de Transporte de Cargas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100.000,00</w:t>
            </w:r>
          </w:p>
        </w:tc>
        <w:tc>
          <w:tcPr>
            <w:tcW w:w="1843" w:type="dxa"/>
          </w:tcPr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8%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8.000,00</w:t>
            </w:r>
          </w:p>
        </w:tc>
        <w:tc>
          <w:tcPr>
            <w:tcW w:w="1818" w:type="dxa"/>
          </w:tcPr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12%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12.000,00</w:t>
            </w:r>
          </w:p>
        </w:tc>
      </w:tr>
      <w:tr w:rsidR="00BF63B0">
        <w:tc>
          <w:tcPr>
            <w:tcW w:w="1852" w:type="dxa"/>
          </w:tcPr>
          <w:p w:rsidR="00BF63B0" w:rsidRDefault="00BF63B0">
            <w:pPr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Demais Serviços de Transportes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100.000,00</w:t>
            </w:r>
          </w:p>
        </w:tc>
        <w:tc>
          <w:tcPr>
            <w:tcW w:w="1843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16%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16.000,00</w:t>
            </w:r>
          </w:p>
        </w:tc>
        <w:tc>
          <w:tcPr>
            <w:tcW w:w="1818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12%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12.000,00</w:t>
            </w:r>
          </w:p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F63B0">
        <w:tc>
          <w:tcPr>
            <w:tcW w:w="1852" w:type="dxa"/>
          </w:tcPr>
          <w:p w:rsidR="00BF63B0" w:rsidRDefault="00181CCF">
            <w:pPr>
              <w:spacing w:before="2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Revenda de Combustíveis para Consumo</w:t>
            </w:r>
          </w:p>
        </w:tc>
        <w:tc>
          <w:tcPr>
            <w:tcW w:w="169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100.000,00</w:t>
            </w:r>
          </w:p>
        </w:tc>
        <w:tc>
          <w:tcPr>
            <w:tcW w:w="1843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1,60%</w:t>
            </w:r>
          </w:p>
        </w:tc>
        <w:tc>
          <w:tcPr>
            <w:tcW w:w="1442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1.600,00</w:t>
            </w:r>
          </w:p>
        </w:tc>
        <w:tc>
          <w:tcPr>
            <w:tcW w:w="1818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12%</w:t>
            </w:r>
          </w:p>
        </w:tc>
        <w:tc>
          <w:tcPr>
            <w:tcW w:w="1985" w:type="dxa"/>
          </w:tcPr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F63B0" w:rsidRDefault="00181CC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12.000,00</w:t>
            </w:r>
          </w:p>
          <w:p w:rsidR="00BF63B0" w:rsidRDefault="00BF63B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F63B0" w:rsidRDefault="00BF63B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240" w:lineRule="auto"/>
        <w:ind w:left="1418" w:hanging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F63B0" w:rsidRDefault="00181CCF">
      <w:pPr>
        <w:pStyle w:val="Ttulo3"/>
        <w:numPr>
          <w:ilvl w:val="2"/>
          <w:numId w:val="2"/>
        </w:numPr>
        <w:ind w:left="2552" w:hanging="851"/>
        <w:rPr>
          <w:rFonts w:ascii="Times New Roman" w:eastAsia="Times New Roman" w:hAnsi="Times New Roman" w:cs="Times New Roman"/>
          <w:sz w:val="32"/>
          <w:szCs w:val="32"/>
        </w:rPr>
      </w:pPr>
      <w:bookmarkStart w:id="11" w:name="_Toc14170014"/>
      <w:r>
        <w:rPr>
          <w:rFonts w:ascii="Times New Roman" w:eastAsia="Times New Roman" w:hAnsi="Times New Roman" w:cs="Times New Roman"/>
          <w:sz w:val="32"/>
          <w:szCs w:val="32"/>
        </w:rPr>
        <w:t>SIMPLES NACIONAL</w:t>
      </w:r>
      <w:bookmarkEnd w:id="11"/>
    </w:p>
    <w:p w:rsidR="00BF63B0" w:rsidRPr="00C40D0B" w:rsidRDefault="00BF63B0" w:rsidP="00C40D0B">
      <w:pPr>
        <w:pStyle w:val="SemEspaamento"/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F63B0" w:rsidRPr="00C40D0B" w:rsidRDefault="00181CCF" w:rsidP="00C40D0B">
      <w:pPr>
        <w:pStyle w:val="SemEspaamento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>O Simples Nacional é uma forma simplificada e englobada de recolhimento de tributos e contribuições, tendo como base de apuração a receita bruta, e também é uma forma</w:t>
      </w: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simplificada para micro e pequenas empresas.</w:t>
      </w:r>
    </w:p>
    <w:p w:rsidR="00BF63B0" w:rsidRPr="00C40D0B" w:rsidRDefault="00181CCF" w:rsidP="00C40D0B">
      <w:pPr>
        <w:pStyle w:val="SemEspaamento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Ele permite o recolhimento de vários tributos Federais, Estaduais e Municipais em </w:t>
      </w:r>
      <w:r w:rsidRPr="00C40D0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uma única guia</w:t>
      </w: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>. A alíquota é diferenciada, variando de acordo com o faturamento,</w:t>
      </w: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que varia de 4 a 22%,</w:t>
      </w: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que é separado em faixas de faturamento, até a receita bruta anual de </w:t>
      </w:r>
      <w:r w:rsidRPr="00C40D0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R$ 4,8 milhões</w:t>
      </w: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> - limite que entrou em vigor em 2018 em atendimento à </w:t>
      </w:r>
      <w:hyperlink r:id="rId15">
        <w:r w:rsidRPr="00C40D0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Lei Complementar nº 155</w:t>
        </w:r>
      </w:hyperlink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BF63B0" w:rsidRPr="00C40D0B" w:rsidRDefault="00181CCF" w:rsidP="00C40D0B">
      <w:pPr>
        <w:pStyle w:val="SemEspaamento"/>
        <w:spacing w:line="360" w:lineRule="auto"/>
        <w:ind w:firstLine="720"/>
        <w:jc w:val="both"/>
        <w:rPr>
          <w:rFonts w:ascii="Times New Roman" w:eastAsia="Open Sans Light" w:hAnsi="Times New Roman" w:cs="Times New Roman"/>
          <w:color w:val="000000"/>
          <w:sz w:val="24"/>
          <w:szCs w:val="24"/>
          <w:highlight w:val="white"/>
        </w:rPr>
      </w:pPr>
      <w:r w:rsidRPr="00C40D0B">
        <w:rPr>
          <w:rFonts w:ascii="Times New Roman" w:eastAsia="Open Sans Light" w:hAnsi="Times New Roman" w:cs="Times New Roman"/>
          <w:color w:val="000000"/>
          <w:sz w:val="24"/>
          <w:szCs w:val="24"/>
          <w:highlight w:val="white"/>
        </w:rPr>
        <w:t>Dentro da </w:t>
      </w:r>
      <w:hyperlink r:id="rId16">
        <w:r w:rsidRPr="00C40D0B">
          <w:rPr>
            <w:rFonts w:ascii="Times New Roman" w:eastAsia="Open Sans SemiBold" w:hAnsi="Times New Roman" w:cs="Times New Roman"/>
            <w:color w:val="2687E9"/>
            <w:sz w:val="24"/>
            <w:szCs w:val="24"/>
            <w:u w:val="single"/>
          </w:rPr>
          <w:t>Lei Complementar nº 123/06</w:t>
        </w:r>
      </w:hyperlink>
      <w:r w:rsidRPr="00C40D0B">
        <w:rPr>
          <w:rFonts w:ascii="Times New Roman" w:eastAsia="Open Sans Light" w:hAnsi="Times New Roman" w:cs="Times New Roman"/>
          <w:color w:val="000000"/>
          <w:sz w:val="24"/>
          <w:szCs w:val="24"/>
          <w:highlight w:val="white"/>
        </w:rPr>
        <w:t>, o Simples também é chamado de Regime Especial Unificado de Arrecadação de Tributos e Contribuições devidos pelas Microempresas e Empresas de Pequeno Porte.</w:t>
      </w:r>
    </w:p>
    <w:p w:rsidR="00BF63B0" w:rsidRPr="00C40D0B" w:rsidRDefault="00181CCF" w:rsidP="00C40D0B">
      <w:pPr>
        <w:pStyle w:val="SemEspaamento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0D0B">
        <w:rPr>
          <w:rFonts w:ascii="Times New Roman" w:eastAsia="Times New Roman" w:hAnsi="Times New Roman" w:cs="Times New Roman"/>
          <w:color w:val="000000"/>
          <w:sz w:val="24"/>
          <w:szCs w:val="24"/>
        </w:rPr>
        <w:t>O Simples Nacional implica o recolhimento mensal, mediante documento Único de arrecadação, dos seguintes impostos e contribuições: </w:t>
      </w:r>
    </w:p>
    <w:p w:rsidR="00BF63B0" w:rsidRDefault="00BF63B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0" w:firstLine="270"/>
        <w:jc w:val="both"/>
        <w:rPr>
          <w:rFonts w:ascii="Open Sans Light" w:eastAsia="Open Sans Light" w:hAnsi="Open Sans Light" w:cs="Open Sans Light"/>
          <w:color w:val="000000"/>
          <w:sz w:val="24"/>
          <w:szCs w:val="24"/>
          <w:highlight w:val="white"/>
        </w:rPr>
      </w:pP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 - Imposto sobre a Renda da Pessoa Jurídica (IRPJ);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II - Imposto sobre Produtos industrializados (IPI);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III - Contribuição Social sobre o Lucro Líquido (CSLL);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IV - Contribuição para o Financiamento da Seguridade Social (COFINS):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 - Contribuição para o PIS/PASEP;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 - Contribuição para a Seguridade Social, a cargo da pessoa jurídica, de que trata o art. 22 da Lei nº 8.212, de 24 de julho de 1991, exceto no caso das pessoas jurídicas que se dediquem às atividades de prestação de serviços previstas especificamente; </w:t>
      </w:r>
    </w:p>
    <w:p w:rsidR="00BF63B0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VII - Imposto sobre a Circulação de Mercadorias e Serviços e sobre Serviços de Transporte Interestadual e Intermunicipal (ICMS); </w:t>
      </w:r>
    </w:p>
    <w:p w:rsidR="00BF63B0" w:rsidRPr="00C40D0B" w:rsidRDefault="00181CCF" w:rsidP="00C40D0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VIII - Imposto sobre Serviços de Qualquer Natureza (ISS). </w:t>
      </w:r>
    </w:p>
    <w:p w:rsidR="00BF63B0" w:rsidRDefault="00181CCF">
      <w:pPr>
        <w:pStyle w:val="Ttulo1"/>
        <w:numPr>
          <w:ilvl w:val="0"/>
          <w:numId w:val="1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12" w:name="_Toc14170015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CONCLUSÃO</w:t>
      </w:r>
      <w:bookmarkEnd w:id="12"/>
    </w:p>
    <w:p w:rsidR="00BF63B0" w:rsidRDefault="00BF63B0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Durante a análise dos orçamentos empresariais vistos tanto na COCA-COLA ANDINA BRASIL como no restante dos exemplos, um bom orçamento requer um bom estudo com gestores capacitados para a busca da escolha certa sobre o sistema tributário.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que demonstramos é que com uma boa gestão podemos alcançar a excelência nos processos como vendas, despesas e etc.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Com base nos estudos feitos fica claro que um estudo especificado sobre cada processo da gestão </w:t>
      </w:r>
      <w:r w:rsidR="00C40D0B">
        <w:rPr>
          <w:rFonts w:ascii="Times New Roman" w:eastAsia="Times New Roman" w:hAnsi="Times New Roman" w:cs="Times New Roman"/>
          <w:sz w:val="24"/>
          <w:szCs w:val="24"/>
        </w:rPr>
        <w:t>está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sempre a se aprimorar.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Podemos percorrer por uma vasta pesquisa entre as áreas comentadas, podendo servir de aprimoramento em cada área especifica.</w:t>
      </w: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estudo nos proporcionou uma visão tanto que crítica sobre o Sistema Tributário Nacional, em que os tributos cobrados são para bens sociais para todos, mas que na maioria das vezes acabam desacelerando o crescimento. Mas mesmo desafiados nosso país não se abala procurando as melhores formas de gestão para fortalecer o crescimento do país.</w:t>
      </w:r>
    </w:p>
    <w:p w:rsidR="00BF63B0" w:rsidRDefault="00BF63B0"/>
    <w:p w:rsidR="00BF63B0" w:rsidRDefault="00BF63B0"/>
    <w:p w:rsidR="00BF63B0" w:rsidRDefault="00BF63B0"/>
    <w:p w:rsidR="00BF63B0" w:rsidRDefault="00BF63B0"/>
    <w:p w:rsidR="00BF63B0" w:rsidRDefault="00BF63B0"/>
    <w:p w:rsidR="00BF63B0" w:rsidRDefault="00BF63B0"/>
    <w:p w:rsidR="00BF63B0" w:rsidRDefault="00BF63B0"/>
    <w:p w:rsidR="00BF63B0" w:rsidRDefault="00BF63B0"/>
    <w:p w:rsidR="00C40D0B" w:rsidRDefault="00C40D0B"/>
    <w:p w:rsidR="00C40D0B" w:rsidRDefault="00C40D0B"/>
    <w:p w:rsidR="00C40D0B" w:rsidRDefault="00C40D0B"/>
    <w:p w:rsidR="00C40D0B" w:rsidRDefault="00C40D0B"/>
    <w:p w:rsidR="00BF63B0" w:rsidRDefault="00BF63B0"/>
    <w:p w:rsidR="00BF63B0" w:rsidRPr="00C40D0B" w:rsidRDefault="00181CCF">
      <w:pPr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C40D0B">
        <w:rPr>
          <w:rFonts w:ascii="Times New Roman" w:eastAsia="Times New Roman" w:hAnsi="Times New Roman" w:cs="Times New Roman"/>
          <w:b/>
          <w:sz w:val="36"/>
          <w:szCs w:val="36"/>
        </w:rPr>
        <w:lastRenderedPageBreak/>
        <w:t>REFERÊNCIAS</w:t>
      </w:r>
    </w:p>
    <w:p w:rsidR="00BF63B0" w:rsidRDefault="00BF63B0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SACHA, Calmon, fev. 2018. </w:t>
      </w:r>
      <w:hyperlink r:id="rId17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www.Thomsonreuters.com.br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hyperlink r:id="rId18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www.Blog.finanças360</w:t>
        </w:r>
      </w:hyperlink>
    </w:p>
    <w:p w:rsidR="00BF63B0" w:rsidRDefault="00181C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www.blog.sage.com.br</w:t>
      </w:r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19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www.Coca-colaBrasil.com</w:t>
        </w:r>
      </w:hyperlink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0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www.ecrconsultoria.com.br</w:t>
        </w:r>
      </w:hyperlink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1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www.investing.com.br</w:t>
        </w:r>
      </w:hyperlink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2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www.portaltributario.com.br</w:t>
        </w:r>
      </w:hyperlink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3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www.Youtube.contabilidadetv</w:t>
        </w:r>
      </w:hyperlink>
    </w:p>
    <w:p w:rsidR="00BF63B0" w:rsidRDefault="00C161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4">
        <w:r w:rsidR="00181CC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www.Youtube.JAsoluçoes</w:t>
        </w:r>
      </w:hyperlink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Default="00BF63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63B0" w:rsidRPr="00C40D0B" w:rsidRDefault="00BF63B0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13" w:name="_GoBack"/>
      <w:bookmarkEnd w:id="13"/>
    </w:p>
    <w:sectPr w:rsidR="00BF63B0" w:rsidRPr="00C40D0B">
      <w:type w:val="continuous"/>
      <w:pgSz w:w="11906" w:h="16838"/>
      <w:pgMar w:top="1418" w:right="1701" w:bottom="1418" w:left="1701" w:header="0" w:footer="720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1CD" w:rsidRDefault="00C161CD">
      <w:pPr>
        <w:spacing w:after="0" w:line="240" w:lineRule="auto"/>
      </w:pPr>
      <w:r>
        <w:separator/>
      </w:r>
    </w:p>
  </w:endnote>
  <w:endnote w:type="continuationSeparator" w:id="0">
    <w:p w:rsidR="00C161CD" w:rsidRDefault="00C161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Open Sans Light">
    <w:altName w:val="Times New Roman"/>
    <w:charset w:val="00"/>
    <w:family w:val="auto"/>
    <w:pitch w:val="default"/>
  </w:font>
  <w:font w:name="Open Sans SemiBold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3B0" w:rsidRDefault="00BF63B0">
    <w:pPr>
      <w:tabs>
        <w:tab w:val="center" w:pos="4252"/>
        <w:tab w:val="right" w:pos="8504"/>
      </w:tabs>
      <w:spacing w:after="0" w:line="240" w:lineRule="auto"/>
      <w:ind w:right="-864"/>
      <w:jc w:val="right"/>
    </w:pPr>
  </w:p>
  <w:p w:rsidR="00BF63B0" w:rsidRDefault="00181CCF">
    <w:pPr>
      <w:tabs>
        <w:tab w:val="center" w:pos="4252"/>
        <w:tab w:val="right" w:pos="8504"/>
      </w:tabs>
      <w:spacing w:after="709"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40D0B">
      <w:rPr>
        <w:noProof/>
      </w:rPr>
      <w:t>11</w:t>
    </w:r>
    <w:r>
      <w:fldChar w:fldCharType="end"/>
    </w:r>
  </w:p>
  <w:p w:rsidR="00BF63B0" w:rsidRDefault="00BF63B0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1CD" w:rsidRDefault="00C161CD">
      <w:pPr>
        <w:spacing w:after="0" w:line="240" w:lineRule="auto"/>
      </w:pPr>
      <w:r>
        <w:separator/>
      </w:r>
    </w:p>
  </w:footnote>
  <w:footnote w:type="continuationSeparator" w:id="0">
    <w:p w:rsidR="00C161CD" w:rsidRDefault="00C161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3B0" w:rsidRDefault="004620DB" w:rsidP="004620DB">
    <w:pPr>
      <w:tabs>
        <w:tab w:val="center" w:pos="4252"/>
        <w:tab w:val="right" w:pos="8504"/>
      </w:tabs>
      <w:spacing w:before="709" w:after="0" w:line="240" w:lineRule="auto"/>
      <w:jc w:val="right"/>
    </w:pPr>
    <w:r>
      <w:t>ISSN 1983-6767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3B0" w:rsidRDefault="00BF63B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</w:p>
  <w:p w:rsidR="00BF63B0" w:rsidRDefault="00BF63B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</w:p>
  <w:p w:rsidR="00BF63B0" w:rsidRDefault="004620DB" w:rsidP="004620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447D3C0C" wp14:editId="137572BA">
          <wp:simplePos x="0" y="0"/>
          <wp:positionH relativeFrom="margin">
            <wp:align>center</wp:align>
          </wp:positionH>
          <wp:positionV relativeFrom="paragraph">
            <wp:posOffset>142875</wp:posOffset>
          </wp:positionV>
          <wp:extent cx="2347200" cy="702000"/>
          <wp:effectExtent l="0" t="0" r="0" b="3175"/>
          <wp:wrapNone/>
          <wp:docPr id="1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47200" cy="702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C7161"/>
    <w:multiLevelType w:val="multilevel"/>
    <w:tmpl w:val="E730E36E"/>
    <w:lvl w:ilvl="0">
      <w:start w:val="3"/>
      <w:numFmt w:val="decimal"/>
      <w:lvlText w:val="%1"/>
      <w:lvlJc w:val="left"/>
      <w:pPr>
        <w:ind w:left="450" w:hanging="450"/>
      </w:pPr>
    </w:lvl>
    <w:lvl w:ilvl="1">
      <w:start w:val="1"/>
      <w:numFmt w:val="decimal"/>
      <w:lvlText w:val="%1.%2"/>
      <w:lvlJc w:val="left"/>
      <w:pPr>
        <w:ind w:left="2160" w:hanging="720"/>
      </w:pPr>
    </w:lvl>
    <w:lvl w:ilvl="2">
      <w:start w:val="1"/>
      <w:numFmt w:val="decimal"/>
      <w:lvlText w:val="%1.%2.%3"/>
      <w:lvlJc w:val="left"/>
      <w:pPr>
        <w:ind w:left="3600" w:hanging="720"/>
      </w:pPr>
    </w:lvl>
    <w:lvl w:ilvl="3">
      <w:start w:val="1"/>
      <w:numFmt w:val="decimal"/>
      <w:lvlText w:val="%1.%2.%3.%4"/>
      <w:lvlJc w:val="left"/>
      <w:pPr>
        <w:ind w:left="5400" w:hanging="1080"/>
      </w:pPr>
    </w:lvl>
    <w:lvl w:ilvl="4">
      <w:start w:val="1"/>
      <w:numFmt w:val="decimal"/>
      <w:lvlText w:val="%1.%2.%3.%4.%5"/>
      <w:lvlJc w:val="left"/>
      <w:pPr>
        <w:ind w:left="7200" w:hanging="1440"/>
      </w:pPr>
    </w:lvl>
    <w:lvl w:ilvl="5">
      <w:start w:val="1"/>
      <w:numFmt w:val="decimal"/>
      <w:lvlText w:val="%1.%2.%3.%4.%5.%6"/>
      <w:lvlJc w:val="left"/>
      <w:pPr>
        <w:ind w:left="9000" w:hanging="1800"/>
      </w:pPr>
    </w:lvl>
    <w:lvl w:ilvl="6">
      <w:start w:val="1"/>
      <w:numFmt w:val="decimal"/>
      <w:lvlText w:val="%1.%2.%3.%4.%5.%6.%7"/>
      <w:lvlJc w:val="left"/>
      <w:pPr>
        <w:ind w:left="10440" w:hanging="1800"/>
      </w:pPr>
    </w:lvl>
    <w:lvl w:ilvl="7">
      <w:start w:val="1"/>
      <w:numFmt w:val="decimal"/>
      <w:lvlText w:val="%1.%2.%3.%4.%5.%6.%7.%8"/>
      <w:lvlJc w:val="left"/>
      <w:pPr>
        <w:ind w:left="12240" w:hanging="2160"/>
      </w:pPr>
    </w:lvl>
    <w:lvl w:ilvl="8">
      <w:start w:val="1"/>
      <w:numFmt w:val="decimal"/>
      <w:lvlText w:val="%1.%2.%3.%4.%5.%6.%7.%8.%9"/>
      <w:lvlJc w:val="left"/>
      <w:pPr>
        <w:ind w:left="14040" w:hanging="2520"/>
      </w:pPr>
    </w:lvl>
  </w:abstractNum>
  <w:abstractNum w:abstractNumId="1" w15:restartNumberingAfterBreak="0">
    <w:nsid w:val="753F3711"/>
    <w:multiLevelType w:val="multilevel"/>
    <w:tmpl w:val="6C42B4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3B0"/>
    <w:rsid w:val="00181CCF"/>
    <w:rsid w:val="004620DB"/>
    <w:rsid w:val="00815EC9"/>
    <w:rsid w:val="00BF63B0"/>
    <w:rsid w:val="00C161CD"/>
    <w:rsid w:val="00C40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DFB41"/>
  <w15:docId w15:val="{3566F774-C3C4-44BF-A0A5-BCF9CBC9E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620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620DB"/>
  </w:style>
  <w:style w:type="paragraph" w:styleId="Rodap">
    <w:name w:val="footer"/>
    <w:basedOn w:val="Normal"/>
    <w:link w:val="RodapChar"/>
    <w:uiPriority w:val="99"/>
    <w:unhideWhenUsed/>
    <w:rsid w:val="004620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620DB"/>
  </w:style>
  <w:style w:type="paragraph" w:styleId="SemEspaamento">
    <w:name w:val="No Spacing"/>
    <w:uiPriority w:val="1"/>
    <w:qFormat/>
    <w:rsid w:val="00815EC9"/>
    <w:pPr>
      <w:spacing w:after="0" w:line="240" w:lineRule="auto"/>
    </w:pPr>
  </w:style>
  <w:style w:type="paragraph" w:styleId="CabealhodoSumrio">
    <w:name w:val="TOC Heading"/>
    <w:basedOn w:val="Ttulo1"/>
    <w:next w:val="Normal"/>
    <w:uiPriority w:val="39"/>
    <w:unhideWhenUsed/>
    <w:qFormat/>
    <w:rsid w:val="00815EC9"/>
    <w:p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Sumrio1">
    <w:name w:val="toc 1"/>
    <w:basedOn w:val="Normal"/>
    <w:next w:val="Normal"/>
    <w:autoRedefine/>
    <w:uiPriority w:val="39"/>
    <w:unhideWhenUsed/>
    <w:rsid w:val="00815EC9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815EC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rsid w:val="00815EC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815E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thomsonreuters.com.br" TargetMode="External"/><Relationship Id="rId18" Type="http://schemas.openxmlformats.org/officeDocument/2006/relationships/hyperlink" Target="about:blank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investing.com.br" TargetMode="External"/><Relationship Id="rId7" Type="http://schemas.openxmlformats.org/officeDocument/2006/relationships/endnotes" Target="endnotes.xml"/><Relationship Id="rId12" Type="http://schemas.openxmlformats.org/officeDocument/2006/relationships/hyperlink" Target="about:blank" TargetMode="External"/><Relationship Id="rId17" Type="http://schemas.openxmlformats.org/officeDocument/2006/relationships/hyperlink" Target="http://www.thomsonreuters.com.br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planalto.gov.br/ccivil_03/leis/LCP/Lcp123.htm" TargetMode="External"/><Relationship Id="rId20" Type="http://schemas.openxmlformats.org/officeDocument/2006/relationships/hyperlink" Target="http://www.ecrconsultoria.com.b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crconsultoria" TargetMode="External"/><Relationship Id="rId24" Type="http://schemas.openxmlformats.org/officeDocument/2006/relationships/hyperlink" Target="about:blan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lanalto.gov.br/ccivil_03/Leis/lcp/Lcp155.htm" TargetMode="External"/><Relationship Id="rId23" Type="http://schemas.openxmlformats.org/officeDocument/2006/relationships/hyperlink" Target="http://www.youtube.contabilidadetv" TargetMode="External"/><Relationship Id="rId10" Type="http://schemas.openxmlformats.org/officeDocument/2006/relationships/header" Target="header2.xml"/><Relationship Id="rId19" Type="http://schemas.openxmlformats.org/officeDocument/2006/relationships/hyperlink" Target="http://www.coca-colabrasil.com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portaltributario.com" TargetMode="External"/><Relationship Id="rId22" Type="http://schemas.openxmlformats.org/officeDocument/2006/relationships/hyperlink" Target="http://www.portaltributario.com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3D0AA4-4C2F-4CFF-892D-4735F7F81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2425</Words>
  <Characters>13097</Characters>
  <Application>Microsoft Office Word</Application>
  <DocSecurity>0</DocSecurity>
  <Lines>109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Tais Gonçalves</dc:creator>
  <cp:lastModifiedBy>Magna de Fátima da Silva</cp:lastModifiedBy>
  <cp:revision>3</cp:revision>
  <dcterms:created xsi:type="dcterms:W3CDTF">2019-07-12T17:30:00Z</dcterms:created>
  <dcterms:modified xsi:type="dcterms:W3CDTF">2019-07-16T14:56:00Z</dcterms:modified>
</cp:coreProperties>
</file>