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3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3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A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Fernanda de Lima Salvi, RA 21000872</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Giovanni Augusto Luqueta, RA 22001772</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Luiza Ferraz Campese, RA 21000045</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3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9">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A">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E">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F">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0">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1">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2">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2">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7">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9">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sectPr>
          <w:headerReference r:id="rId13" w:type="default"/>
          <w:footerReference r:id="rId14" w:type="default"/>
          <w:footerReference r:id="rId15"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0">
      <w:pPr>
        <w:spacing w:after="200" w:line="360" w:lineRule="auto"/>
        <w:jc w:val="center"/>
        <w:rPr>
          <w:rFonts w:ascii="Arial" w:cs="Arial" w:eastAsia="Arial" w:hAnsi="Arial"/>
          <w:color w:val="202124"/>
          <w:sz w:val="24"/>
          <w:szCs w:val="24"/>
          <w:highlight w:val="white"/>
        </w:rPr>
      </w:pPr>
      <w:r w:rsidDel="00000000" w:rsidR="00000000" w:rsidRPr="00000000">
        <w:rPr>
          <w:rtl w:val="0"/>
        </w:rPr>
      </w:r>
    </w:p>
    <w:p w:rsidR="00000000" w:rsidDel="00000000" w:rsidP="00000000" w:rsidRDefault="00000000" w:rsidRPr="00000000" w14:paraId="00000091">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Fonts w:ascii="Times New Roman" w:cs="Times New Roman" w:eastAsia="Times New Roman" w:hAnsi="Times New Roman"/>
          <w:b w:val="1"/>
          <w:color w:val="202124"/>
          <w:sz w:val="32"/>
          <w:szCs w:val="32"/>
          <w:highlight w:val="white"/>
          <w:rtl w:val="0"/>
        </w:rPr>
        <w:t xml:space="preserve">PARECER JURÍDICO</w:t>
      </w:r>
    </w:p>
    <w:p w:rsidR="00000000" w:rsidDel="00000000" w:rsidP="00000000" w:rsidRDefault="00000000" w:rsidRPr="00000000" w14:paraId="00000092">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Assuntos: inelegibilidade eleitoral, depoimento pessoal, desconsideração da personalidade jurídica, erro de proibição.</w:t>
      </w:r>
    </w:p>
    <w:p w:rsidR="00000000" w:rsidDel="00000000" w:rsidP="00000000" w:rsidRDefault="00000000" w:rsidRPr="00000000" w14:paraId="00000093">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Consulente: Márcio Dias</w:t>
      </w:r>
    </w:p>
    <w:p w:rsidR="00000000" w:rsidDel="00000000" w:rsidP="00000000" w:rsidRDefault="00000000" w:rsidRPr="00000000" w14:paraId="00000094">
      <w:pPr>
        <w:spacing w:after="240" w:before="240" w:line="276" w:lineRule="auto"/>
        <w:ind w:left="2260"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EMENTA: DIREITO CONSTITUCIONAL. INELEGIBILIDADE. DIREITO PROCESSUAL CIVIL. DEPOIMENTO PESSOAL POR VIDEOCONFERÊNCIA. DIREITO EMPRESARIAL. DESCONSIDERAÇÃO DA PERSONALIDADE JURÍDICA. DIREITO PENAL.  ERRO DE PROIBIÇÃO EVITÁVEL.</w:t>
      </w:r>
    </w:p>
    <w:p w:rsidR="00000000" w:rsidDel="00000000" w:rsidP="00000000" w:rsidRDefault="00000000" w:rsidRPr="00000000" w14:paraId="00000095">
      <w:pPr>
        <w:spacing w:after="240" w:before="240" w:line="276" w:lineRule="auto"/>
        <w:ind w:left="2260"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 </w:t>
      </w:r>
    </w:p>
    <w:p w:rsidR="00000000" w:rsidDel="00000000" w:rsidP="00000000" w:rsidRDefault="00000000" w:rsidRPr="00000000" w14:paraId="00000096">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Trata-se de uma consulta formulada por Márcio Dias acerca dos seguintes assuntos: possibilidades de inelegibilidade eleitoral; comparecimento pessoal obrigatório à audiência; hipóteses de desconsideração da personalidade jurídica; defesa quanto a um crime contra a ordem tributária.</w:t>
      </w:r>
    </w:p>
    <w:p w:rsidR="00000000" w:rsidDel="00000000" w:rsidP="00000000" w:rsidRDefault="00000000" w:rsidRPr="00000000" w14:paraId="00000097">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 consulente informa ser proprietário da “MD Technologies”, importante firma do ramo tecnológico, sediada na cidade de São Paulo e com filial no município de Mogi das Cruzes/SP. Refere-se a uma Empresa Individual de Responsabilidade Limitada (EIRELI).</w:t>
      </w:r>
    </w:p>
    <w:p w:rsidR="00000000" w:rsidDel="00000000" w:rsidP="00000000" w:rsidRDefault="00000000" w:rsidRPr="00000000" w14:paraId="00000098">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No ano de 2015, esse próspero empresário, a fim de acompanhar de perto as atividades de sua unidade filial, mudou-se da capital paulista para Mogi das Cruzes, passando a residir em um apartamento de muitíssimo prestígio, de propriedade da Sra. Ângela Morais.</w:t>
      </w:r>
    </w:p>
    <w:p w:rsidR="00000000" w:rsidDel="00000000" w:rsidP="00000000" w:rsidRDefault="00000000" w:rsidRPr="00000000" w14:paraId="00000099">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Ocorre que, em razão de uma grave crise internacional no âmbito de comércio eletrônico, no fim de 2018, a “MD Technologies” deixou de honrar inúmeros fornecedores, sendo necessário que dispusesse de todos os seus patrimônios para saldar as dívidas de determinados credores.</w:t>
      </w:r>
    </w:p>
    <w:p w:rsidR="00000000" w:rsidDel="00000000" w:rsidP="00000000" w:rsidRDefault="00000000" w:rsidRPr="00000000" w14:paraId="0000009A">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Em 2021, levando em consideração esse cenário de grande impacto econômico, Márcio decide fechar a empresa filial e retornar para São Paulo, com vista à recuperação da vida financeira da unidade lá situada, que agora passa a ser caracterizada como uma Sociedade Limitada Unipessoal (SLU).</w:t>
      </w:r>
    </w:p>
    <w:p w:rsidR="00000000" w:rsidDel="00000000" w:rsidP="00000000" w:rsidRDefault="00000000" w:rsidRPr="00000000" w14:paraId="0000009B">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Nesse contexto, em face à dificuldade financeira enfrentada pelo consulente, este, desanimado com os acontecimentos que abrangem a área em que atua, decide filiar-se ao partido político de seu pai para pleitear, nas eleições de 2022, mandato eletivo para o cargo de Deputado Federal por São Paulo, forma pela qual seria possível que ele ascendesse socialmente.</w:t>
      </w:r>
    </w:p>
    <w:p w:rsidR="00000000" w:rsidDel="00000000" w:rsidP="00000000" w:rsidRDefault="00000000" w:rsidRPr="00000000" w14:paraId="0000009C">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Contudo, apesar da tentativa, teve sua candidatura não autorizada pelo órgão partidário, na medida em que recebeu da comissão interna responsável pelas prévias candidaturas o seguinte parecer:</w:t>
      </w:r>
    </w:p>
    <w:p w:rsidR="00000000" w:rsidDel="00000000" w:rsidP="00000000" w:rsidRDefault="00000000" w:rsidRPr="00000000" w14:paraId="0000009D">
      <w:pPr>
        <w:spacing w:after="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“Item 2.1- Com relação à pretensão do sr. Márcio Dias para o pleito eleitoral do ano seguinte, almejando o cargo de Deputado Federal, esta comissão partidária entende que o indeferimento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p>
    <w:p w:rsidR="00000000" w:rsidDel="00000000" w:rsidP="00000000" w:rsidRDefault="00000000" w:rsidRPr="00000000" w14:paraId="0000009E">
      <w:pPr>
        <w:spacing w:after="0" w:line="276" w:lineRule="auto"/>
        <w:ind w:left="2260"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 </w:t>
      </w:r>
    </w:p>
    <w:p w:rsidR="00000000" w:rsidDel="00000000" w:rsidP="00000000" w:rsidRDefault="00000000" w:rsidRPr="00000000" w14:paraId="0000009F">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Além da improbabilidade de ingre[1] ssar na carreira política, o consulente também é cientificado de três processos que o envolve:</w:t>
      </w:r>
    </w:p>
    <w:p w:rsidR="00000000" w:rsidDel="00000000" w:rsidP="00000000" w:rsidRDefault="00000000" w:rsidRPr="00000000" w14:paraId="000000A0">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 primeiro, em trâmite na Comarca de Mogi das Cruzes, diz respeito à cobrança de aluguéis em atraso de seu apartamento. Nessa ação, Márcio deixa de apresentar contestação em prazo hábil e de especificar provas. A audiência de instrução é agendada para que preste depoimento. Ao ser intimado da referida audiência a ser realizada no município de Mogi das Cruzes, é informado de que o não comparecimento pessoal à sessão poderia acarretá-lo danos processuais.</w:t>
      </w:r>
    </w:p>
    <w:p w:rsidR="00000000" w:rsidDel="00000000" w:rsidP="00000000" w:rsidRDefault="00000000" w:rsidRPr="00000000" w14:paraId="000000A1">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 segundo processo trata-se também de uma cobrança, desta vez, instaurada pela empresa “PNTM Security”, que alega não ter recebido o pagamento relativo ao fornecimento de serviços de segurança à firma de Márcio. Insta frisar que, visando o efetivo recebimento, a desconsideração da personalidade jurídica da “MD Technologies”, é solicitada ao magistrado.</w:t>
      </w:r>
    </w:p>
    <w:p w:rsidR="00000000" w:rsidDel="00000000" w:rsidP="00000000" w:rsidRDefault="00000000" w:rsidRPr="00000000" w14:paraId="000000A2">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A terceira ação judicial é oriunda de um inquérito policial implementado no ano de 2019, quando sua firma foi investigada por não fornecer, mesmo quando obrigada, nota fiscal referente à venda de mercadorias, prática incursa no art. 1º, inciso V, da Lei 8.137/90. Apesar de ter sido chamado inúmeras vezes para comparecer à Delegacia, não esteve presente por acreditar, com absoluta certeza, que não apresentar notas fiscais era uma mera irregularidade, desconhecendo a norma supramencionada.</w:t>
      </w:r>
    </w:p>
    <w:p w:rsidR="00000000" w:rsidDel="00000000" w:rsidP="00000000" w:rsidRDefault="00000000" w:rsidRPr="00000000" w14:paraId="000000A3">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É o relatório.</w:t>
      </w:r>
    </w:p>
    <w:p w:rsidR="00000000" w:rsidDel="00000000" w:rsidP="00000000" w:rsidRDefault="00000000" w:rsidRPr="00000000" w14:paraId="000000A4">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Passamos a opinar.</w:t>
      </w:r>
    </w:p>
    <w:p w:rsidR="00000000" w:rsidDel="00000000" w:rsidP="00000000" w:rsidRDefault="00000000" w:rsidRPr="00000000" w14:paraId="000000A5">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0A6">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Fonts w:ascii="Times New Roman" w:cs="Times New Roman" w:eastAsia="Times New Roman" w:hAnsi="Times New Roman"/>
          <w:b w:val="1"/>
          <w:color w:val="202124"/>
          <w:sz w:val="32"/>
          <w:szCs w:val="32"/>
          <w:highlight w:val="white"/>
          <w:rtl w:val="0"/>
        </w:rPr>
        <w:t xml:space="preserve">I - QUANTO AO INDEFERIMENTO INTERNO DA CANDIDATURA DO CONSULENTE</w:t>
      </w:r>
    </w:p>
    <w:p w:rsidR="00000000" w:rsidDel="00000000" w:rsidP="00000000" w:rsidRDefault="00000000" w:rsidRPr="00000000" w14:paraId="000000A7">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Foi correta a decisão da comissão interna de indeferir a candidatura de Márcio Dias a Deputado Federal de São Paulo, haja vista que ele é, diante das circunstâncias apresentadas, caracterizado como inelegível.</w:t>
      </w:r>
    </w:p>
    <w:p w:rsidR="00000000" w:rsidDel="00000000" w:rsidP="00000000" w:rsidRDefault="00000000" w:rsidRPr="00000000" w14:paraId="000000A8">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No âmbito jurídico, a inelegibilidade pode ser definida como o atributo daquele que não pode se eleger para cargo político por não atender certas exigências legais. No trecho constitucional a seguir, são expressas algumas delas:</w:t>
      </w:r>
    </w:p>
    <w:p w:rsidR="00000000" w:rsidDel="00000000" w:rsidP="00000000" w:rsidRDefault="00000000" w:rsidRPr="00000000" w14:paraId="000000A9">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14. § 4º São inelegíveis os inalistáveis e os analfabetos.</w:t>
      </w:r>
    </w:p>
    <w:p w:rsidR="00000000" w:rsidDel="00000000" w:rsidP="00000000" w:rsidRDefault="00000000" w:rsidRPr="00000000" w14:paraId="000000AA">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5º O Presidente da República, os Governadores de Estado e do Distrito Federal, os Prefeitos e quem os houver sucedido, ou substituído no curso dos mandatos poderão ser reeleitos para um único período subsequente.</w:t>
      </w:r>
    </w:p>
    <w:p w:rsidR="00000000" w:rsidDel="00000000" w:rsidP="00000000" w:rsidRDefault="00000000" w:rsidRPr="00000000" w14:paraId="000000AB">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6º Para concorrerem a outros cargos, o Presidente da República, os Governadores de Estado e do Distrito Federal e os Prefeitos devem renunciar aos respectivos mandatos até seis meses antes do pleito.</w:t>
      </w:r>
    </w:p>
    <w:p w:rsidR="00000000" w:rsidDel="00000000" w:rsidP="00000000" w:rsidRDefault="00000000" w:rsidRPr="00000000" w14:paraId="000000AC">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7º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reeleição.[...](Art. 14, § 4 ,§ 5, § 6,§ 7,CF)</w:t>
      </w:r>
    </w:p>
    <w:p w:rsidR="00000000" w:rsidDel="00000000" w:rsidP="00000000" w:rsidRDefault="00000000" w:rsidRPr="00000000" w14:paraId="000000AD">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Nessa conjuntura, destaca-se o livro “Lei da Inelegibilidade Comentada: Legislação e Jurisprudência Atualizadas, Leis da Ficha Limpa e da Minirreforma Eleitoral”, do advogado e autor Marino Pazzalini Filho, dado que o termo “inelegibilidade” é conceituado da seguinte maneira:</w:t>
      </w:r>
    </w:p>
    <w:p w:rsidR="00000000" w:rsidDel="00000000" w:rsidP="00000000" w:rsidRDefault="00000000" w:rsidRPr="00000000" w14:paraId="000000AE">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 sanção de inelegibilidade restringe a capacidade eleitoral passiva do eleitor, ou seja, o direito de se candidatar e eventualmente, se eleger, permanecendo o  inelegível em pleno gozo de seus direitos ativos de votar e de participação política, inclusive de exercer atividades políticas” (Filho, Marino P. Lei de Inelegibilidade Comentada: Legislação e Jurisprudência Atualizadas, Leis da Ficha Limpa e da Minirreforma Eleitoral. Disponível em: Minha Biblioteca, Grupo GEN, 2014).</w:t>
      </w:r>
    </w:p>
    <w:p w:rsidR="00000000" w:rsidDel="00000000" w:rsidP="00000000" w:rsidRDefault="00000000" w:rsidRPr="00000000" w14:paraId="000000AF">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Verifica-se, em face dessa definição e do trecho constitucional mencionado, que o caso de Márcio Dias enquadra-se, perfeitamente, na hipótese de inelegibilidade taxativamente expressa no § 7º do artigo 14 da Constituição Federal. A assertiva dá-se em função do consulente ser filho (consanguíneo de primeiro grau) do Sr. Olavo Dias, atual Governador de São Paulo. Fato que impossibilita o consulente de candidatar-se, nas eleições de 2022, para exercer o cargo de Deputado Federal do estado paulista.</w:t>
      </w:r>
    </w:p>
    <w:p w:rsidR="00000000" w:rsidDel="00000000" w:rsidP="00000000" w:rsidRDefault="00000000" w:rsidRPr="00000000" w14:paraId="000000B0">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Insta frisar que a impossibilidade, em razão de parentesco, de ingresso neste e em outros serviços de esfera pública que carecem de votação têm as seguintes finalidades: impedir que candidatos venham a ser beneficiados em função de sua relação próxima com o chefe do executivo e impossibilitar a preponderân</w:t>
      </w:r>
      <w:sdt>
        <w:sdtPr>
          <w:tag w:val="goog_rdk_0"/>
        </w:sdtPr>
        <w:sdtContent>
          <w:commentRangeStart w:id="0"/>
        </w:sdtContent>
      </w:sdt>
      <w:r w:rsidDel="00000000" w:rsidR="00000000" w:rsidRPr="00000000">
        <w:rPr>
          <w:rFonts w:ascii="Times New Roman" w:cs="Times New Roman" w:eastAsia="Times New Roman" w:hAnsi="Times New Roman"/>
          <w:color w:val="202124"/>
          <w:sz w:val="24"/>
          <w:szCs w:val="24"/>
          <w:highlight w:val="white"/>
          <w:rtl w:val="0"/>
        </w:rPr>
        <w:t xml:space="preserve">cia política de um mesmo </w:t>
      </w:r>
      <w:commentRangeEnd w:id="0"/>
      <w:r w:rsidDel="00000000" w:rsidR="00000000" w:rsidRPr="00000000">
        <w:commentReference w:id="0"/>
      </w:r>
      <w:r w:rsidDel="00000000" w:rsidR="00000000" w:rsidRPr="00000000">
        <w:rPr>
          <w:rFonts w:ascii="Times New Roman" w:cs="Times New Roman" w:eastAsia="Times New Roman" w:hAnsi="Times New Roman"/>
          <w:color w:val="202124"/>
          <w:sz w:val="24"/>
          <w:szCs w:val="24"/>
          <w:highlight w:val="white"/>
          <w:rtl w:val="0"/>
        </w:rPr>
        <w:t xml:space="preserve">grupo familiar. Assim sendo, a alternância de poder é favorecida, de modo que tende a preservar a imparcialidade e moralidade dos órgãos jurisdicionais. Nas palavras de Kildare Gonçalves Carvalho, magistrado e professor: “as inelegibilidades visam proteger a probidade administrativa, a moralidade para o exercício do mandato, considerada a vida pregressa do candidato [...]” (CARVALHO, 2012, p. 849).</w:t>
      </w:r>
    </w:p>
    <w:p w:rsidR="00000000" w:rsidDel="00000000" w:rsidP="00000000" w:rsidRDefault="00000000" w:rsidRPr="00000000" w14:paraId="000000B1">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Nesse contexto, vale a transcrição dos arestos jurisprudenciais do Tribunal Regional Eleitoral, respectivamente, de Piauí e Paraná:</w:t>
      </w:r>
    </w:p>
    <w:p w:rsidR="00000000" w:rsidDel="00000000" w:rsidP="00000000" w:rsidRDefault="00000000" w:rsidRPr="00000000" w14:paraId="000000B2">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w:t>
      </w:r>
    </w:p>
    <w:p w:rsidR="00000000" w:rsidDel="00000000" w:rsidP="00000000" w:rsidRDefault="00000000" w:rsidRPr="00000000" w14:paraId="000000B3">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EMENTA. AGRAVO REGIMENTAL. RECURSO ESPECIAL ELEITORAL. ELEIÇÕES 2012. INELEGIBILIDADE SUPERVENIENTE. PARENTESCO. ART. 14 § 7º DA CF/88. RCED. POSSIBILIDADE. NÃO PROVIMENTO. 1. A inelegibilidade por parentesco pode ser arguida em recurso contra expedição de diploma (art. 262, I, do Código Eleitoral), mesmo tratando-se de fato superveniente ao pedido de registro. Procedentes. 2. Agravo regimental não provido. (Tribunal Superior Eleitoral TSE- Agravo Regimental em Recurso Especial Eleitoral: AgR-RespeXXXXX-80.2013.618.0000 PI).</w:t>
      </w:r>
    </w:p>
    <w:p w:rsidR="00000000" w:rsidDel="00000000" w:rsidP="00000000" w:rsidRDefault="00000000" w:rsidRPr="00000000" w14:paraId="000000B4">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EMENTA: RECURSO ELEITORAL- REGISTRO DE CANDIDATURA- PARENTESCO POR CONSANGUINIDADE- CAUSA DE INELEGIBILIDADE – RECURSO DESPROVIDO – SENTENÇA MANTIDA. 1. A norma é categórica ao afirmar que não se pode concorrer ao cargo de vereador na jurisdição do cônjuge ou do parente prefeito, reeleito ou não. 2. Registro de candidatura indeferido. 3. Recurso desprovido. (Tribunal Regional Eleitoral de Paraná TRE-PR- RECURSO ELEITORAL: RE 5907 PR).</w:t>
      </w:r>
    </w:p>
    <w:p w:rsidR="00000000" w:rsidDel="00000000" w:rsidP="00000000" w:rsidRDefault="00000000" w:rsidRPr="00000000" w14:paraId="000000B5">
      <w:pPr>
        <w:spacing w:after="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w:t>
      </w:r>
    </w:p>
    <w:p w:rsidR="00000000" w:rsidDel="00000000" w:rsidP="00000000" w:rsidRDefault="00000000" w:rsidRPr="00000000" w14:paraId="000000B6">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Portanto, torna-se evidente que foi adequada a posição do partido de indeferir internamente a candidatura do consulente a Deputado Federal da cidade de São Paulo, uma vez que é clara a ocorrência de inelegibilidade. Isso porque Márcio, que não é titular de mandato eletivo, sendo filho do atual Governador do estado paulista, ao se candidatar no território de circunscrição de seu pai, certamente, iria contrariar a conduta proposta no art.14, § 7º, da Constituição Federal Brasileira.</w:t>
      </w:r>
    </w:p>
    <w:p w:rsidR="00000000" w:rsidDel="00000000" w:rsidP="00000000" w:rsidRDefault="00000000" w:rsidRPr="00000000" w14:paraId="000000B7">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0B8">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Fonts w:ascii="Times New Roman" w:cs="Times New Roman" w:eastAsia="Times New Roman" w:hAnsi="Times New Roman"/>
          <w:b w:val="1"/>
          <w:color w:val="202124"/>
          <w:sz w:val="32"/>
          <w:szCs w:val="32"/>
          <w:highlight w:val="white"/>
          <w:rtl w:val="0"/>
        </w:rPr>
        <w:t xml:space="preserve">II -  </w:t>
        <w:tab/>
        <w:t xml:space="preserve">QUANTO AO COMPARECIMENTO DO CONSULENTE À AUDIÊNCIA</w:t>
      </w:r>
    </w:p>
    <w:p w:rsidR="00000000" w:rsidDel="00000000" w:rsidP="00000000" w:rsidRDefault="00000000" w:rsidRPr="00000000" w14:paraId="000000B9">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Como explicitado, Márcio Dias foi citado em ação de cobrança por sua antiga locadora, a Sra. Ângela Morais, no entanto, o consulente vem por deixar decorrer “</w:t>
      </w:r>
      <w:r w:rsidDel="00000000" w:rsidR="00000000" w:rsidRPr="00000000">
        <w:rPr>
          <w:rFonts w:ascii="Times New Roman" w:cs="Times New Roman" w:eastAsia="Times New Roman" w:hAnsi="Times New Roman"/>
          <w:i w:val="1"/>
          <w:color w:val="202124"/>
          <w:sz w:val="24"/>
          <w:szCs w:val="24"/>
          <w:highlight w:val="white"/>
          <w:rtl w:val="0"/>
        </w:rPr>
        <w:t xml:space="preserve">in albis</w:t>
      </w:r>
      <w:r w:rsidDel="00000000" w:rsidR="00000000" w:rsidRPr="00000000">
        <w:rPr>
          <w:rFonts w:ascii="Times New Roman" w:cs="Times New Roman" w:eastAsia="Times New Roman" w:hAnsi="Times New Roman"/>
          <w:color w:val="202124"/>
          <w:sz w:val="24"/>
          <w:szCs w:val="24"/>
          <w:highlight w:val="white"/>
          <w:rtl w:val="0"/>
        </w:rPr>
        <w:t xml:space="preserve">” o prazo de contestação. Em razão de requerimento acolhido pelo juiz, Márcio é então indiciado a comparecer em audiência na cidade de Mogi das Cruzes – SP. Tal assunto se trata de depoimento pessoal da parte que tem como natureza jurídica o interrogatório livre, forma de prova que é melhor explicada por Carnelutti, que diz:</w:t>
      </w:r>
    </w:p>
    <w:p w:rsidR="00000000" w:rsidDel="00000000" w:rsidP="00000000" w:rsidRDefault="00000000" w:rsidRPr="00000000" w14:paraId="000000BA">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“Por meio dele a parte é convidada a fazer a sua declaração de ciência sobre determinados fatos contrários ao seu interesse afirmados especificamente pelo adversário” (CARNELUTTI, Francisco. A prova, 4º ed. Brookseller, Campinas, 2005.)</w:t>
      </w:r>
    </w:p>
    <w:p w:rsidR="00000000" w:rsidDel="00000000" w:rsidP="00000000" w:rsidRDefault="00000000" w:rsidRPr="00000000" w14:paraId="000000BB">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Dado tal entendimento, o compromisso de comparecer em audiência de instrução e julgamento é de extrema importância, pois caso Márcio não compareça, dar-se-á razão aos fatos apresentados por Ângela Morais, sendo assim resultante em aplicação de pena para o consulente que não demonstrou interesse em depor, firmado tal no art. 385 §1º do Código de processo Civil, que ressalta:</w:t>
      </w:r>
    </w:p>
    <w:p w:rsidR="00000000" w:rsidDel="00000000" w:rsidP="00000000" w:rsidRDefault="00000000" w:rsidRPr="00000000" w14:paraId="000000BC">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BD">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1º Se a parte, pessoalmente intimada para prestar depoimento pessoal e advertida da pena de confesso, não comparecer ou, comparecendo, se recusar a depor, o juiz aplicar-lhe-á a pena. </w:t>
      </w:r>
    </w:p>
    <w:p w:rsidR="00000000" w:rsidDel="00000000" w:rsidP="00000000" w:rsidRDefault="00000000" w:rsidRPr="00000000" w14:paraId="000000BE">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Outra coisa importante a ressaltar é que deve o consulente comparecer pois como já foi pré estabelecido o mesmo deixou o processo correr “</w:t>
      </w:r>
      <w:r w:rsidDel="00000000" w:rsidR="00000000" w:rsidRPr="00000000">
        <w:rPr>
          <w:rFonts w:ascii="Times New Roman" w:cs="Times New Roman" w:eastAsia="Times New Roman" w:hAnsi="Times New Roman"/>
          <w:i w:val="1"/>
          <w:color w:val="202124"/>
          <w:sz w:val="24"/>
          <w:szCs w:val="24"/>
          <w:highlight w:val="white"/>
          <w:rtl w:val="0"/>
        </w:rPr>
        <w:t xml:space="preserve">in albis</w:t>
      </w:r>
      <w:r w:rsidDel="00000000" w:rsidR="00000000" w:rsidRPr="00000000">
        <w:rPr>
          <w:rFonts w:ascii="Times New Roman" w:cs="Times New Roman" w:eastAsia="Times New Roman" w:hAnsi="Times New Roman"/>
          <w:color w:val="202124"/>
          <w:sz w:val="24"/>
          <w:szCs w:val="24"/>
          <w:highlight w:val="white"/>
          <w:rtl w:val="0"/>
        </w:rPr>
        <w:t xml:space="preserve">” ou seja não apresentou contestação contra a ação dentro do prazo estipulado e muito menos provas que o sanam do pagamento de tal dívida, fato o qual segundo o art.344 do CPC, é também caso revelia:</w:t>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344. Se o réu não contestar a ação, será considerado revel e presumir-se-ão verdadeiras as alegações de fato formuladas pelo autor.</w:t>
      </w:r>
    </w:p>
    <w:p w:rsidR="00000000" w:rsidDel="00000000" w:rsidP="00000000" w:rsidRDefault="00000000" w:rsidRPr="00000000" w14:paraId="000000C0">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Importante ressaltar que o depoimento pessoal busca a realidade do “fato”, ou seja, busca o juiz entender melhor o ocorrido para que possa dar seguimento ao trâmite processual, por isso é suma sua importância, para que haja exatidão, segundo pensamento de Pontes Miranda,“ a prova no processo é o que concorre para que o juiz, ao aplicar a lei, fique certo de que está a prestar, com exatidão, o que se prometera: a tutela jurídica”. Pois antes o depoimento era somente forma de obter a confissão do depoente, porém veio a sofrer alterações, onde mesmo sendo de principal finalidade a confissão, não se trata mais de seu único intuito segundo o jurista Daniel Amorim Assumpção Neves:</w:t>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“Ocorre, entretanto, que o contato pessoal do juiz com as partes pode, em razão da aplicação do livre convencimento motivado do juiz, esclarecer alguns fatos que não tenham chegado ao seu conhecimento somente após o filtro do patrono que subscreve as peças processuais. Não seria absurdo, portanto, imaginar uma situação em que o depoimento pessoal favoreça a parte que o prestou, devendo o juiz, entretanto, sempre levar em consideração o interesse direto da parte em se sagrar vitoriosa na demanda.” (NEVES, Daniel Amorim Assumpção. Manual de Direito Processual Civil. Volume único. 5ª ed., págs. 436 e 437).</w:t>
      </w:r>
    </w:p>
    <w:p w:rsidR="00000000" w:rsidDel="00000000" w:rsidP="00000000" w:rsidRDefault="00000000" w:rsidRPr="00000000" w14:paraId="000000C2">
      <w:pPr>
        <w:spacing w:after="240" w:before="240" w:line="360" w:lineRule="auto"/>
        <w:ind w:firstLine="700"/>
        <w:jc w:val="both"/>
        <w:rPr>
          <w:rFonts w:ascii="Arial" w:cs="Arial" w:eastAsia="Arial" w:hAnsi="Arial"/>
          <w:color w:val="202124"/>
          <w:sz w:val="20"/>
          <w:szCs w:val="20"/>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No entanto, ocorre que pelo fato de Márcio não mais residir em Mogi das Cruzes/SP, não há necessidade de que ele se desloque da capital paulista até esse município para prestar depoimento, podendo ceder-lhe da Comarca de São Paulo, mediante sala passiva, um ambiente que é exclusivamente destinado ao depoente que não possa comparecer fisicamente, sendo então ouvido por meio virtual. Opção essa que vem sendo muito utilizada, não somente quando se trata do comparecimento do consulente, mas também para a agilização de processos judiciais. e também estando essa resguardada no art. 385 </w:t>
      </w:r>
      <w:r w:rsidDel="00000000" w:rsidR="00000000" w:rsidRPr="00000000">
        <w:rPr>
          <w:rFonts w:ascii="Arial" w:cs="Arial" w:eastAsia="Arial" w:hAnsi="Arial"/>
          <w:color w:val="202124"/>
          <w:sz w:val="20"/>
          <w:szCs w:val="20"/>
          <w:highlight w:val="white"/>
          <w:rtl w:val="0"/>
        </w:rPr>
        <w:t xml:space="preserve">§3°</w:t>
      </w:r>
      <w:r w:rsidDel="00000000" w:rsidR="00000000" w:rsidRPr="00000000">
        <w:rPr>
          <w:rFonts w:ascii="Times New Roman" w:cs="Times New Roman" w:eastAsia="Times New Roman" w:hAnsi="Times New Roman"/>
          <w:color w:val="202124"/>
          <w:sz w:val="24"/>
          <w:szCs w:val="24"/>
          <w:highlight w:val="white"/>
          <w:rtl w:val="0"/>
        </w:rPr>
        <w:t xml:space="preserve"> do Código de Processo Civil:</w:t>
      </w: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385. §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C4">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Fatos os quais são sustentados por dadas jurisprudência:</w:t>
      </w:r>
    </w:p>
    <w:p w:rsidR="00000000" w:rsidDel="00000000" w:rsidP="00000000" w:rsidRDefault="00000000" w:rsidRPr="00000000" w14:paraId="000000C5">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EMENTA: APELAÇÃO CÍVEL - AÇÃO DECLARATÓRIA DE INEXISTÊNCIA DO DÉBITO CUMULADA COM REPARAÇÃO POR DANOS MORAIS - INSCRIÇÃO DO NOME DO CONSUMIDOR EM CADASTRO DE INADIMPLENTES - INTIMAÇÃO PESSOAL DA PARTE AUTORA - NÃO COMPARECIMENTO À AUDIÊNCIA DESIGNADA PARA O SEU DEPOIMENTO PESSOAL - APLICAÇÃO DA PENA DE CONFESSO - IMPERIOSIDADE - LEGITIMIDADE DO APONTAMENTO DESABONADOR - DANOS MORAIS NÃO CONFIGURADOS - O não comparecimento injustificado da parte intimada pessoalmente à audiência designada para o colhimento de seu depoimento pessoal enseja a aplicação da pena de confissão, nos termos do artigo 385 , § 1º do CPC , presumindo-se a veracidade dos fatos contra ela alegados - Perpetrada em exercício regular de direito, a negativação do nome do consumidor não lhe enseja direito à indenização, por ausência de ato ilícito.</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hyperlink r:id="rId16">
        <w:r w:rsidDel="00000000" w:rsidR="00000000" w:rsidRPr="00000000">
          <w:rPr>
            <w:rFonts w:ascii="Times New Roman" w:cs="Times New Roman" w:eastAsia="Times New Roman" w:hAnsi="Times New Roman"/>
            <w:color w:val="202124"/>
            <w:sz w:val="20"/>
            <w:szCs w:val="20"/>
            <w:highlight w:val="white"/>
            <w:rtl w:val="0"/>
          </w:rPr>
          <w:t xml:space="preserve">REALIZAÇÃO DE AUDIÊNCIA POR MEIO TELEPRESENCIAL</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17">
        <w:r w:rsidDel="00000000" w:rsidR="00000000" w:rsidRPr="00000000">
          <w:rPr>
            <w:rFonts w:ascii="Times New Roman" w:cs="Times New Roman" w:eastAsia="Times New Roman" w:hAnsi="Times New Roman"/>
            <w:color w:val="202124"/>
            <w:sz w:val="20"/>
            <w:szCs w:val="20"/>
            <w:highlight w:val="white"/>
            <w:rtl w:val="0"/>
          </w:rPr>
          <w:t xml:space="preserve"> IMPOSSIBILIDADE DE COMPARECIMENTO DA PARTE</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18">
        <w:r w:rsidDel="00000000" w:rsidR="00000000" w:rsidRPr="00000000">
          <w:rPr>
            <w:rFonts w:ascii="Times New Roman" w:cs="Times New Roman" w:eastAsia="Times New Roman" w:hAnsi="Times New Roman"/>
            <w:color w:val="202124"/>
            <w:sz w:val="20"/>
            <w:szCs w:val="20"/>
            <w:highlight w:val="white"/>
            <w:rtl w:val="0"/>
          </w:rPr>
          <w:t xml:space="preserve"> INCAPACIDADE TÉCNICA</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19">
        <w:r w:rsidDel="00000000" w:rsidR="00000000" w:rsidRPr="00000000">
          <w:rPr>
            <w:rFonts w:ascii="Times New Roman" w:cs="Times New Roman" w:eastAsia="Times New Roman" w:hAnsi="Times New Roman"/>
            <w:color w:val="202124"/>
            <w:sz w:val="20"/>
            <w:szCs w:val="20"/>
            <w:highlight w:val="white"/>
            <w:rtl w:val="0"/>
          </w:rPr>
          <w:t xml:space="preserve"> ADIAMENTO DO ATO</w:t>
        </w:r>
      </w:hyperlink>
      <w:r w:rsidDel="00000000" w:rsidR="00000000" w:rsidRPr="00000000">
        <w:rPr>
          <w:rFonts w:ascii="Times New Roman" w:cs="Times New Roman" w:eastAsia="Times New Roman" w:hAnsi="Times New Roman"/>
          <w:color w:val="202124"/>
          <w:sz w:val="20"/>
          <w:szCs w:val="20"/>
          <w:highlight w:val="white"/>
          <w:rtl w:val="0"/>
        </w:rPr>
        <w:t xml:space="preserve">.</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O Conselho Nacional de Justiça condiciona a realização de audiência por videoconferência à possibilidade de comparecimento das partes (art. 6º, § 3º, Resolução</w:t>
      </w:r>
      <w:hyperlink r:id="rId20">
        <w:r w:rsidDel="00000000" w:rsidR="00000000" w:rsidRPr="00000000">
          <w:rPr>
            <w:rFonts w:ascii="Times New Roman" w:cs="Times New Roman" w:eastAsia="Times New Roman" w:hAnsi="Times New Roman"/>
            <w:color w:val="202124"/>
            <w:sz w:val="20"/>
            <w:szCs w:val="20"/>
            <w:highlight w:val="white"/>
            <w:rtl w:val="0"/>
          </w:rPr>
          <w:t xml:space="preserve"> 314</w:t>
        </w:r>
      </w:hyperlink>
      <w:r w:rsidDel="00000000" w:rsidR="00000000" w:rsidRPr="00000000">
        <w:rPr>
          <w:rFonts w:ascii="Times New Roman" w:cs="Times New Roman" w:eastAsia="Times New Roman" w:hAnsi="Times New Roman"/>
          <w:color w:val="202124"/>
          <w:sz w:val="20"/>
          <w:szCs w:val="20"/>
          <w:highlight w:val="white"/>
          <w:rtl w:val="0"/>
        </w:rPr>
        <w:t xml:space="preserve">/2020). Cabe ao magistrado, portanto, adiar os atos que não puderem ser praticados pelo meio telepresencial, analisando as peculiaridades do caso concreto, inclusive quanto à capacidade técnica e posse dos meios adequados pelas partes.</w:t>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EMENTA: AGRAVO DE INSTRUMENTO - EMBARGOS À EXECUÇÃO - AUDIÊNCIA DE INSTRUÇÃO E JULGAMENTO - DEPOIMENTO PESSOAL - DOMICÍLIO DA PARTE EM COMARCA DIVERSA - REGRA - REALIZAÇÃO POR VIDEOCONFERÊNCIA - DENTRO DAS DEPENDÊNCIAS DA UNIDADE JUDICIÁRIA - PRESERVAÇÃO DA INCOMUNICABILIDADE - EXCEÇÃO - CARTA PRECATÓRIA - FUNDAMENTAÇÃO - DECISÃO REFORMADA EM PARTE.</w:t>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O depoimento pessoal de parte que reside fora da comarca deve ser realizado, em regra, por sistema de videoconferência, dentro das dependências da unidade judiciária, inclusive em situação em que a pessoa a ser inquirida resida fora do Estado ( CPC/2015, art. 385, § 3º, c/c Portaria XXXXX/CGJ/2021), isso sem prejuízo do comparecimento espontâneo do depoente. A exceção deve ser fundamentada, promovendo-se a expedição de carta precatória para tanto (Portaria XXXXX/CGJ/2021, art. 1º, parágrafo único).</w:t>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As oitivas devem ser realizadas dentro do edifício da unidade judiciária, de modo a preservar a incomunicabilidade entre as testemunhas e a vedação, quanto ao depoimento pessoal, de "quem ainda não depôs assistir ao interrogatório da outra parte." ( CPC/2015, arts. 385, § 2º, e 456; e Portaria XXXXX/CGJ/2021, art. 3º c/c art. 4º, § 3º).</w:t>
      </w:r>
    </w:p>
    <w:p w:rsidR="00000000" w:rsidDel="00000000" w:rsidP="00000000" w:rsidRDefault="00000000" w:rsidRPr="00000000" w14:paraId="000000CB">
      <w:pPr>
        <w:spacing w:after="240" w:before="240" w:line="360" w:lineRule="auto"/>
        <w:ind w:firstLine="700"/>
        <w:jc w:val="both"/>
        <w:rPr>
          <w:rFonts w:ascii="Times New Roman" w:cs="Times New Roman" w:eastAsia="Times New Roman" w:hAnsi="Times New Roman"/>
          <w:color w:val="202124"/>
          <w:sz w:val="24"/>
          <w:szCs w:val="24"/>
          <w:highlight w:val="white"/>
        </w:rPr>
      </w:pPr>
      <w:sdt>
        <w:sdtPr>
          <w:tag w:val="goog_rdk_1"/>
        </w:sdtPr>
        <w:sdtContent>
          <w:commentRangeStart w:id="1"/>
        </w:sdtContent>
      </w:sdt>
      <w:r w:rsidDel="00000000" w:rsidR="00000000" w:rsidRPr="00000000">
        <w:rPr>
          <w:rFonts w:ascii="Times New Roman" w:cs="Times New Roman" w:eastAsia="Times New Roman" w:hAnsi="Times New Roman"/>
          <w:color w:val="202124"/>
          <w:sz w:val="24"/>
          <w:szCs w:val="24"/>
          <w:highlight w:val="white"/>
          <w:rtl w:val="0"/>
        </w:rPr>
        <w:t xml:space="preserve">Portanto, como apresentado acima, a presença de Márcio é de suma importância, no entanto, a mesma não precisa ser especificamente por meio físico, mas não deixa de ser algo necessário para que não lhe seja aplicada pena de confissão. Tal ação é necessária para que se possam esclarecer as discordâncias das partes. Importante também ressaltar que o mesmo não poderá delegar sua obrigação a outra pessoa.</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CC">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0CD">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Fonts w:ascii="Times New Roman" w:cs="Times New Roman" w:eastAsia="Times New Roman" w:hAnsi="Times New Roman"/>
          <w:b w:val="1"/>
          <w:color w:val="202124"/>
          <w:sz w:val="32"/>
          <w:szCs w:val="32"/>
          <w:highlight w:val="white"/>
          <w:rtl w:val="0"/>
        </w:rPr>
        <w:t xml:space="preserve">III – QUANTO À DESCONSIDERAÇÃO DA PERSONALIDADE JURÍDICA</w:t>
      </w:r>
    </w:p>
    <w:p w:rsidR="00000000" w:rsidDel="00000000" w:rsidP="00000000" w:rsidRDefault="00000000" w:rsidRPr="00000000" w14:paraId="000000CE">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Para tratarmos o assunto da desconsideração da personalidade jurídica, deve-se, primeiramente, passar a saber o que ela é e qual sua finalidade. Tal teoria nasceu para que se evite fraude ou abuso de direitos pelos sócios dentro da empresa, servindo assim como um reforço para que os mesmos atuem visando o bem de sua sociedade, como é dito por Fábio Ulhôa Coelho:</w:t>
      </w:r>
    </w:p>
    <w:p w:rsidR="00000000" w:rsidDel="00000000" w:rsidP="00000000" w:rsidRDefault="00000000" w:rsidRPr="00000000" w14:paraId="000000CF">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 teoria da desconsideração da personalidade jurídica não é contrária à personalização das sociedades empresárias e à sua autonomia em relação aos sócios. Ao contrário, seu objetivo é preservar o instituto, coibindo práticas fraudulentas e abusivas que dele se utilizam”. (COELHO, Fabio Ulhôa. Curso de direito comercial: direito de empresa, p. 61.)</w:t>
      </w:r>
    </w:p>
    <w:p w:rsidR="00000000" w:rsidDel="00000000" w:rsidP="00000000" w:rsidRDefault="00000000" w:rsidRPr="00000000" w14:paraId="000000D0">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Quando se trata desse assunto, o ordenamento jurídico apresenta duas teorias para a responsabilização dos sócios, sendo elas: a teoria maior e a teoria menor. A maior, por assim dizer, se dá quando ocorre o desvirtuamento ou abuso da personalidade jurídica se tratando da confusão patrimonial. Já a segunda teoria que se trata da menor é caracterizada pelo inadimplemento das obrigações dos sócios dentro da empresa, não sendo necessária fraude ou prática abusiva pelo mesmo.</w:t>
      </w:r>
    </w:p>
    <w:p w:rsidR="00000000" w:rsidDel="00000000" w:rsidP="00000000" w:rsidRDefault="00000000" w:rsidRPr="00000000" w14:paraId="000000D1">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Portanto sendo tal ideia apresentada tem-se por entendimento que a desconsideração da personalidade jurídica se trata de uma medida necessária tomada pelo consulente contra o empresário que pratica tais atos previstos, os quais estão dispostos no art. 50 do Código Civil:</w:t>
      </w:r>
    </w:p>
    <w:p w:rsidR="00000000" w:rsidDel="00000000" w:rsidP="00000000" w:rsidRDefault="00000000" w:rsidRPr="00000000" w14:paraId="000000D2">
      <w:pPr>
        <w:spacing w:after="240" w:before="240" w:line="276" w:lineRule="auto"/>
        <w:ind w:left="2260"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r w:rsidDel="00000000" w:rsidR="00000000" w:rsidRPr="00000000">
        <w:rPr>
          <w:rFonts w:ascii="Times New Roman" w:cs="Times New Roman" w:eastAsia="Times New Roman" w:hAnsi="Times New Roman"/>
          <w:color w:val="202124"/>
          <w:sz w:val="24"/>
          <w:szCs w:val="24"/>
          <w:highlight w:val="white"/>
          <w:rtl w:val="0"/>
        </w:rPr>
        <w:tab/>
      </w:r>
    </w:p>
    <w:p w:rsidR="00000000" w:rsidDel="00000000" w:rsidP="00000000" w:rsidRDefault="00000000" w:rsidRPr="00000000" w14:paraId="000000D3">
      <w:pPr>
        <w:pBdr>
          <w:top w:space="0" w:sz="0" w:val="nil"/>
          <w:left w:space="0" w:sz="0" w:val="nil"/>
          <w:bottom w:space="0" w:sz="0" w:val="nil"/>
          <w:right w:space="0" w:sz="0" w:val="nil"/>
          <w:between w:space="0" w:sz="0" w:val="nil"/>
        </w:pBd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Como observado, um dos motivos de abuso da personalidade jurídica é a confusão patrimonial, que ocorre quando o empresário vem por dilapidar seu patrimônio, e por fim não vindo a honrar e arcar com suas dívidas e credores. Pela empresa de Márcio se tratar de uma EIRELI e ser constituída por responsabilidade limitada, esse poderia sim ser um caso para sua desconsideração da personalidade, pensamento o qual é sustentado pelo jurista Fábio Konder Comparato, onde disserta sobre a confusão patrimonial:</w:t>
      </w:r>
    </w:p>
    <w:p w:rsidR="00000000" w:rsidDel="00000000" w:rsidP="00000000" w:rsidRDefault="00000000" w:rsidRPr="00000000" w14:paraId="000000D4">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 confusão patrimonial entre controlador e sociedade controlada é, portanto, o critério fundamental para a desconsideração da personalidade jurídica externa corporis. E compreende-se, facilmente, que assim seja, pois, em matéria empresarial, a pessoa jurídica nada mais é do que uma técnica de separação patrimonial. Se o controlador, que é o maior interessado na manutenção desse princípio, descumpre-o na prática, não se vê bem porque os juízes haveriam de respeitá-lo, transformando-o, destarte, numa regra puramente unilateral.” (COMPARATO, Fábio Konder. O poder de controle na sociedade anônima, p. 362.)</w:t>
      </w:r>
    </w:p>
    <w:p w:rsidR="00000000" w:rsidDel="00000000" w:rsidP="00000000" w:rsidRDefault="00000000" w:rsidRPr="00000000" w14:paraId="000000D5">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 contexto acima se trata da teoria maior, no entanto ainda deve-se esclarecer qual seria o caso descrito na teoria menor. Pela mesma não vir a exigir fraude, confusão patrimonial ou alguma outra prática abusiva, entre personalidade física e jurídica, é apenas necessário que haja o inadimplemento com suas obrigações, como é ressaltado por Felipe Peixoto Braga Netto quando diz:</w:t>
      </w:r>
    </w:p>
    <w:p w:rsidR="00000000" w:rsidDel="00000000" w:rsidP="00000000" w:rsidRDefault="00000000" w:rsidRPr="00000000" w14:paraId="000000D6">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 Teoria Menor, por sua vez, não exige a prova de fraude ou de prática abusiva, muito menos requer a prova de confusão patrimonial entre os bens da pessoa jurídica e física, basta apenas uma mera prova de insolvência da pessoa jurídica para o pagamento de suas obrigações (BRAGA NETTO; Felipe Peixoto, 2015, p. 276).</w:t>
      </w:r>
    </w:p>
    <w:p w:rsidR="00000000" w:rsidDel="00000000" w:rsidP="00000000" w:rsidRDefault="00000000" w:rsidRPr="00000000" w14:paraId="000000D7">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Como é dito, somente é necessário que o empresário venha a não arcar com suas dívidas, não sendo necessários maiores ou reais motivos para isso ter ocorrido, nessa teoria o intuito é não frustrar o credor perante sociedade.</w:t>
      </w:r>
    </w:p>
    <w:p w:rsidR="00000000" w:rsidDel="00000000" w:rsidP="00000000" w:rsidRDefault="00000000" w:rsidRPr="00000000" w14:paraId="000000D8">
      <w:pPr>
        <w:spacing w:after="240" w:before="240" w:line="360" w:lineRule="auto"/>
        <w:ind w:firstLine="700"/>
        <w:jc w:val="both"/>
        <w:rPr>
          <w:rFonts w:ascii="Times New Roman" w:cs="Times New Roman" w:eastAsia="Times New Roman" w:hAnsi="Times New Roman"/>
          <w:color w:val="202124"/>
          <w:sz w:val="24"/>
          <w:szCs w:val="24"/>
          <w:highlight w:val="white"/>
        </w:rPr>
      </w:pPr>
      <w:sdt>
        <w:sdtPr>
          <w:tag w:val="goog_rdk_2"/>
        </w:sdtPr>
        <w:sdtContent>
          <w:commentRangeStart w:id="2"/>
        </w:sdtContent>
      </w:sdt>
      <w:r w:rsidDel="00000000" w:rsidR="00000000" w:rsidRPr="00000000">
        <w:rPr>
          <w:rFonts w:ascii="Times New Roman" w:cs="Times New Roman" w:eastAsia="Times New Roman" w:hAnsi="Times New Roman"/>
          <w:color w:val="202124"/>
          <w:sz w:val="24"/>
          <w:szCs w:val="24"/>
          <w:highlight w:val="white"/>
          <w:rtl w:val="0"/>
        </w:rPr>
        <w:t xml:space="preserve">Após tais ideias serem apresentadas, e como nos é imposto, Márcio usou o patrimônio de sua empresa MD Technologies apenas para pagamento de dívidas já estabelecidas com credores e com colaboradores os quais teve de demitir devido a situação pela qual veio passando. Visto isso é dado o entendimento de que o mesmo não é caso de desconsideração da personalidade jurídica, por não se encaixar nesse caso. No entanto, como também nos é apresentado, o patrimônio atual de sua empresa somente é suficiente para as atividades de sua matriz, portanto fica a entendimento do juiz, se o pedido pleiteado pela empresa PNTM Security pode vir a ser um caso de teoria menor, como assim já exemplificada antes.</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D9">
      <w:pPr>
        <w:spacing w:after="240" w:before="240" w:line="360" w:lineRule="auto"/>
        <w:ind w:firstLine="700"/>
        <w:jc w:val="both"/>
        <w:rPr>
          <w:rFonts w:ascii="Times New Roman" w:cs="Times New Roman" w:eastAsia="Times New Roman" w:hAnsi="Times New Roman"/>
          <w:color w:val="202124"/>
          <w:sz w:val="24"/>
          <w:szCs w:val="24"/>
          <w:highlight w:val="white"/>
        </w:rPr>
      </w:pPr>
      <w:sdt>
        <w:sdtPr>
          <w:tag w:val="goog_rdk_3"/>
        </w:sdtPr>
        <w:sdtContent>
          <w:commentRangeStart w:id="3"/>
        </w:sdtContent>
      </w:sdt>
      <w:r w:rsidDel="00000000" w:rsidR="00000000" w:rsidRPr="00000000">
        <w:rPr>
          <w:rFonts w:ascii="Times New Roman" w:cs="Times New Roman" w:eastAsia="Times New Roman" w:hAnsi="Times New Roman"/>
          <w:color w:val="202124"/>
          <w:sz w:val="24"/>
          <w:szCs w:val="24"/>
          <w:highlight w:val="white"/>
          <w:rtl w:val="0"/>
        </w:rPr>
        <w:t xml:space="preserve">Sendo tal pensamento, afirmações e decisão fundamentados por jurisprudências citadas:</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DA">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EMENTA:</w:t>
      </w:r>
      <w:hyperlink r:id="rId21">
        <w:r w:rsidDel="00000000" w:rsidR="00000000" w:rsidRPr="00000000">
          <w:rPr>
            <w:rFonts w:ascii="Times New Roman" w:cs="Times New Roman" w:eastAsia="Times New Roman" w:hAnsi="Times New Roman"/>
            <w:color w:val="202124"/>
            <w:sz w:val="20"/>
            <w:szCs w:val="20"/>
            <w:highlight w:val="white"/>
            <w:rtl w:val="0"/>
          </w:rPr>
          <w:t xml:space="preserve"> CIVIL</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2">
        <w:r w:rsidDel="00000000" w:rsidR="00000000" w:rsidRPr="00000000">
          <w:rPr>
            <w:rFonts w:ascii="Times New Roman" w:cs="Times New Roman" w:eastAsia="Times New Roman" w:hAnsi="Times New Roman"/>
            <w:color w:val="202124"/>
            <w:sz w:val="20"/>
            <w:szCs w:val="20"/>
            <w:highlight w:val="white"/>
            <w:rtl w:val="0"/>
          </w:rPr>
          <w:t xml:space="preserve"> PROCESSO CIVIL</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3">
        <w:r w:rsidDel="00000000" w:rsidR="00000000" w:rsidRPr="00000000">
          <w:rPr>
            <w:rFonts w:ascii="Times New Roman" w:cs="Times New Roman" w:eastAsia="Times New Roman" w:hAnsi="Times New Roman"/>
            <w:color w:val="202124"/>
            <w:sz w:val="20"/>
            <w:szCs w:val="20"/>
            <w:highlight w:val="white"/>
            <w:rtl w:val="0"/>
          </w:rPr>
          <w:t xml:space="preserve"> DESCONSIDERAÇÃO</w:t>
        </w:r>
      </w:hyperlink>
      <w:r w:rsidDel="00000000" w:rsidR="00000000" w:rsidRPr="00000000">
        <w:rPr>
          <w:rtl w:val="0"/>
        </w:rPr>
      </w:r>
    </w:p>
    <w:p w:rsidR="00000000" w:rsidDel="00000000" w:rsidP="00000000" w:rsidRDefault="00000000" w:rsidRPr="00000000" w14:paraId="000000DB">
      <w:pPr>
        <w:spacing w:after="240" w:before="240" w:line="276" w:lineRule="auto"/>
        <w:ind w:left="2260" w:firstLine="0"/>
        <w:jc w:val="both"/>
        <w:rPr>
          <w:rFonts w:ascii="Times New Roman" w:cs="Times New Roman" w:eastAsia="Times New Roman" w:hAnsi="Times New Roman"/>
          <w:color w:val="202124"/>
          <w:sz w:val="20"/>
          <w:szCs w:val="20"/>
          <w:highlight w:val="white"/>
        </w:rPr>
      </w:pPr>
      <w:hyperlink r:id="rId24">
        <w:r w:rsidDel="00000000" w:rsidR="00000000" w:rsidRPr="00000000">
          <w:rPr>
            <w:rFonts w:ascii="Times New Roman" w:cs="Times New Roman" w:eastAsia="Times New Roman" w:hAnsi="Times New Roman"/>
            <w:color w:val="202124"/>
            <w:sz w:val="20"/>
            <w:szCs w:val="20"/>
            <w:highlight w:val="white"/>
            <w:rtl w:val="0"/>
          </w:rPr>
          <w:t xml:space="preserve">PERSONALIDADE</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5">
        <w:r w:rsidDel="00000000" w:rsidR="00000000" w:rsidRPr="00000000">
          <w:rPr>
            <w:rFonts w:ascii="Times New Roman" w:cs="Times New Roman" w:eastAsia="Times New Roman" w:hAnsi="Times New Roman"/>
            <w:color w:val="202124"/>
            <w:sz w:val="20"/>
            <w:szCs w:val="20"/>
            <w:highlight w:val="white"/>
            <w:rtl w:val="0"/>
          </w:rPr>
          <w:t xml:space="preserve"> JURÍDICA</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6">
        <w:r w:rsidDel="00000000" w:rsidR="00000000" w:rsidRPr="00000000">
          <w:rPr>
            <w:rFonts w:ascii="Times New Roman" w:cs="Times New Roman" w:eastAsia="Times New Roman" w:hAnsi="Times New Roman"/>
            <w:color w:val="202124"/>
            <w:sz w:val="20"/>
            <w:szCs w:val="20"/>
            <w:highlight w:val="white"/>
            <w:rtl w:val="0"/>
          </w:rPr>
          <w:t xml:space="preserve"> TEORIA MAIOR</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7">
        <w:r w:rsidDel="00000000" w:rsidR="00000000" w:rsidRPr="00000000">
          <w:rPr>
            <w:rFonts w:ascii="Times New Roman" w:cs="Times New Roman" w:eastAsia="Times New Roman" w:hAnsi="Times New Roman"/>
            <w:color w:val="202124"/>
            <w:sz w:val="20"/>
            <w:szCs w:val="20"/>
            <w:highlight w:val="white"/>
            <w:rtl w:val="0"/>
          </w:rPr>
          <w:t xml:space="preserve"> PERSONALIDADE</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8">
        <w:r w:rsidDel="00000000" w:rsidR="00000000" w:rsidRPr="00000000">
          <w:rPr>
            <w:rFonts w:ascii="Times New Roman" w:cs="Times New Roman" w:eastAsia="Times New Roman" w:hAnsi="Times New Roman"/>
            <w:color w:val="202124"/>
            <w:sz w:val="20"/>
            <w:szCs w:val="20"/>
            <w:highlight w:val="white"/>
            <w:rtl w:val="0"/>
          </w:rPr>
          <w:t xml:space="preserve"> JURÍDICA</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29">
        <w:r w:rsidDel="00000000" w:rsidR="00000000" w:rsidRPr="00000000">
          <w:rPr>
            <w:rFonts w:ascii="Times New Roman" w:cs="Times New Roman" w:eastAsia="Times New Roman" w:hAnsi="Times New Roman"/>
            <w:color w:val="202124"/>
            <w:sz w:val="20"/>
            <w:szCs w:val="20"/>
            <w:highlight w:val="white"/>
            <w:rtl w:val="0"/>
          </w:rPr>
          <w:t xml:space="preserve"> CONFUSÃO PATRIMONIAL</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30">
        <w:r w:rsidDel="00000000" w:rsidR="00000000" w:rsidRPr="00000000">
          <w:rPr>
            <w:rFonts w:ascii="Times New Roman" w:cs="Times New Roman" w:eastAsia="Times New Roman" w:hAnsi="Times New Roman"/>
            <w:color w:val="202124"/>
            <w:sz w:val="20"/>
            <w:szCs w:val="20"/>
            <w:highlight w:val="white"/>
            <w:rtl w:val="0"/>
          </w:rPr>
          <w:t xml:space="preserve"> CUMPRIMENTO REPETITIVO</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31">
        <w:r w:rsidDel="00000000" w:rsidR="00000000" w:rsidRPr="00000000">
          <w:rPr>
            <w:rFonts w:ascii="Times New Roman" w:cs="Times New Roman" w:eastAsia="Times New Roman" w:hAnsi="Times New Roman"/>
            <w:color w:val="202124"/>
            <w:sz w:val="20"/>
            <w:szCs w:val="20"/>
            <w:highlight w:val="white"/>
            <w:rtl w:val="0"/>
          </w:rPr>
          <w:t xml:space="preserve"> OBRIGAÇÃO</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32">
        <w:r w:rsidDel="00000000" w:rsidR="00000000" w:rsidRPr="00000000">
          <w:rPr>
            <w:rFonts w:ascii="Times New Roman" w:cs="Times New Roman" w:eastAsia="Times New Roman" w:hAnsi="Times New Roman"/>
            <w:color w:val="202124"/>
            <w:sz w:val="20"/>
            <w:szCs w:val="20"/>
            <w:highlight w:val="white"/>
            <w:rtl w:val="0"/>
          </w:rPr>
          <w:t xml:space="preserve"> SÓCIO</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33">
        <w:r w:rsidDel="00000000" w:rsidR="00000000" w:rsidRPr="00000000">
          <w:rPr>
            <w:rFonts w:ascii="Times New Roman" w:cs="Times New Roman" w:eastAsia="Times New Roman" w:hAnsi="Times New Roman"/>
            <w:color w:val="202124"/>
            <w:sz w:val="20"/>
            <w:szCs w:val="20"/>
            <w:highlight w:val="white"/>
            <w:rtl w:val="0"/>
          </w:rPr>
          <w:t xml:space="preserve"> PROVA AUSENTE</w:t>
        </w:r>
      </w:hyperlink>
      <w:r w:rsidDel="00000000" w:rsidR="00000000" w:rsidRPr="00000000">
        <w:rPr>
          <w:rFonts w:ascii="Times New Roman" w:cs="Times New Roman" w:eastAsia="Times New Roman" w:hAnsi="Times New Roman"/>
          <w:color w:val="202124"/>
          <w:sz w:val="20"/>
          <w:szCs w:val="20"/>
          <w:highlight w:val="white"/>
          <w:rtl w:val="0"/>
        </w:rPr>
        <w:t xml:space="preserve">.</w:t>
      </w:r>
    </w:p>
    <w:p w:rsidR="00000000" w:rsidDel="00000000" w:rsidP="00000000" w:rsidRDefault="00000000" w:rsidRPr="00000000" w14:paraId="000000DC">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1. O</w:t>
      </w:r>
      <w:hyperlink r:id="rId34">
        <w:r w:rsidDel="00000000" w:rsidR="00000000" w:rsidRPr="00000000">
          <w:rPr>
            <w:rFonts w:ascii="Times New Roman" w:cs="Times New Roman" w:eastAsia="Times New Roman" w:hAnsi="Times New Roman"/>
            <w:color w:val="202124"/>
            <w:sz w:val="20"/>
            <w:szCs w:val="20"/>
            <w:highlight w:val="white"/>
            <w:rtl w:val="0"/>
          </w:rPr>
          <w:t xml:space="preserve"> Código Civil</w:t>
        </w:r>
      </w:hyperlink>
      <w:r w:rsidDel="00000000" w:rsidR="00000000" w:rsidRPr="00000000">
        <w:rPr>
          <w:rFonts w:ascii="Times New Roman" w:cs="Times New Roman" w:eastAsia="Times New Roman" w:hAnsi="Times New Roman"/>
          <w:color w:val="202124"/>
          <w:sz w:val="20"/>
          <w:szCs w:val="20"/>
          <w:highlight w:val="white"/>
          <w:rtl w:val="0"/>
        </w:rPr>
        <w:t xml:space="preserve">, em seu artigo</w:t>
      </w:r>
      <w:hyperlink r:id="rId35">
        <w:r w:rsidDel="00000000" w:rsidR="00000000" w:rsidRPr="00000000">
          <w:rPr>
            <w:rFonts w:ascii="Times New Roman" w:cs="Times New Roman" w:eastAsia="Times New Roman" w:hAnsi="Times New Roman"/>
            <w:color w:val="202124"/>
            <w:sz w:val="20"/>
            <w:szCs w:val="20"/>
            <w:highlight w:val="white"/>
            <w:rtl w:val="0"/>
          </w:rPr>
          <w:t xml:space="preserve"> 50</w:t>
        </w:r>
      </w:hyperlink>
      <w:r w:rsidDel="00000000" w:rsidR="00000000" w:rsidRPr="00000000">
        <w:rPr>
          <w:rFonts w:ascii="Times New Roman" w:cs="Times New Roman" w:eastAsia="Times New Roman" w:hAnsi="Times New Roman"/>
          <w:color w:val="202124"/>
          <w:sz w:val="20"/>
          <w:szCs w:val="20"/>
          <w:highlight w:val="white"/>
          <w:rtl w:val="0"/>
        </w:rPr>
        <w:t xml:space="preserve">, adotou a Teoria Maior da desconsideração da personalidade jurídica, que exige prova do desvio de finalidade (afastamento do objeto social descrito no ato constitutivo) ou da confusão patrimonial (ausência de separação entre o patrimônio dos sócios e da sociedade empresária).</w:t>
      </w:r>
    </w:p>
    <w:p w:rsidR="00000000" w:rsidDel="00000000" w:rsidP="00000000" w:rsidRDefault="00000000" w:rsidRPr="00000000" w14:paraId="000000DD">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2. Nos termos do</w:t>
      </w:r>
      <w:hyperlink r:id="rId36">
        <w:r w:rsidDel="00000000" w:rsidR="00000000" w:rsidRPr="00000000">
          <w:rPr>
            <w:rFonts w:ascii="Times New Roman" w:cs="Times New Roman" w:eastAsia="Times New Roman" w:hAnsi="Times New Roman"/>
            <w:color w:val="202124"/>
            <w:sz w:val="20"/>
            <w:szCs w:val="20"/>
            <w:highlight w:val="white"/>
            <w:rtl w:val="0"/>
          </w:rPr>
          <w:t xml:space="preserve"> § 2º</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37">
        <w:r w:rsidDel="00000000" w:rsidR="00000000" w:rsidRPr="00000000">
          <w:rPr>
            <w:rFonts w:ascii="Times New Roman" w:cs="Times New Roman" w:eastAsia="Times New Roman" w:hAnsi="Times New Roman"/>
            <w:color w:val="202124"/>
            <w:sz w:val="20"/>
            <w:szCs w:val="20"/>
            <w:highlight w:val="white"/>
            <w:rtl w:val="0"/>
          </w:rPr>
          <w:t xml:space="preserve"> I</w:t>
        </w:r>
      </w:hyperlink>
      <w:r w:rsidDel="00000000" w:rsidR="00000000" w:rsidRPr="00000000">
        <w:rPr>
          <w:rFonts w:ascii="Times New Roman" w:cs="Times New Roman" w:eastAsia="Times New Roman" w:hAnsi="Times New Roman"/>
          <w:color w:val="202124"/>
          <w:sz w:val="20"/>
          <w:szCs w:val="20"/>
          <w:highlight w:val="white"/>
          <w:rtl w:val="0"/>
        </w:rPr>
        <w:t xml:space="preserve">, do artigo</w:t>
      </w:r>
      <w:hyperlink r:id="rId38">
        <w:r w:rsidDel="00000000" w:rsidR="00000000" w:rsidRPr="00000000">
          <w:rPr>
            <w:rFonts w:ascii="Times New Roman" w:cs="Times New Roman" w:eastAsia="Times New Roman" w:hAnsi="Times New Roman"/>
            <w:color w:val="202124"/>
            <w:sz w:val="20"/>
            <w:szCs w:val="20"/>
            <w:highlight w:val="white"/>
            <w:rtl w:val="0"/>
          </w:rPr>
          <w:t xml:space="preserve"> 50</w:t>
        </w:r>
      </w:hyperlink>
      <w:r w:rsidDel="00000000" w:rsidR="00000000" w:rsidRPr="00000000">
        <w:rPr>
          <w:rFonts w:ascii="Times New Roman" w:cs="Times New Roman" w:eastAsia="Times New Roman" w:hAnsi="Times New Roman"/>
          <w:color w:val="202124"/>
          <w:sz w:val="20"/>
          <w:szCs w:val="20"/>
          <w:highlight w:val="white"/>
          <w:rtl w:val="0"/>
        </w:rPr>
        <w:t xml:space="preserve"> do</w:t>
      </w:r>
      <w:hyperlink r:id="rId39">
        <w:r w:rsidDel="00000000" w:rsidR="00000000" w:rsidRPr="00000000">
          <w:rPr>
            <w:rFonts w:ascii="Times New Roman" w:cs="Times New Roman" w:eastAsia="Times New Roman" w:hAnsi="Times New Roman"/>
            <w:color w:val="202124"/>
            <w:sz w:val="20"/>
            <w:szCs w:val="20"/>
            <w:highlight w:val="white"/>
            <w:rtl w:val="0"/>
          </w:rPr>
          <w:t xml:space="preserve"> Código Civil</w:t>
        </w:r>
      </w:hyperlink>
      <w:r w:rsidDel="00000000" w:rsidR="00000000" w:rsidRPr="00000000">
        <w:rPr>
          <w:rFonts w:ascii="Times New Roman" w:cs="Times New Roman" w:eastAsia="Times New Roman" w:hAnsi="Times New Roman"/>
          <w:color w:val="202124"/>
          <w:sz w:val="20"/>
          <w:szCs w:val="20"/>
          <w:highlight w:val="white"/>
          <w:rtl w:val="0"/>
        </w:rPr>
        <w:t xml:space="preserve">, acrescentado pela Lei da Liberdade Econômica (Lei n.º</w:t>
      </w:r>
      <w:hyperlink r:id="rId40">
        <w:r w:rsidDel="00000000" w:rsidR="00000000" w:rsidRPr="00000000">
          <w:rPr>
            <w:rFonts w:ascii="Times New Roman" w:cs="Times New Roman" w:eastAsia="Times New Roman" w:hAnsi="Times New Roman"/>
            <w:color w:val="202124"/>
            <w:sz w:val="20"/>
            <w:szCs w:val="20"/>
            <w:highlight w:val="white"/>
            <w:rtl w:val="0"/>
          </w:rPr>
          <w:t xml:space="preserve"> 13.874</w:t>
        </w:r>
      </w:hyperlink>
      <w:r w:rsidDel="00000000" w:rsidR="00000000" w:rsidRPr="00000000">
        <w:rPr>
          <w:rFonts w:ascii="Times New Roman" w:cs="Times New Roman" w:eastAsia="Times New Roman" w:hAnsi="Times New Roman"/>
          <w:color w:val="202124"/>
          <w:sz w:val="20"/>
          <w:szCs w:val="20"/>
          <w:highlight w:val="white"/>
          <w:rtl w:val="0"/>
        </w:rPr>
        <w:t xml:space="preserve">/2019), a confusão patrimonial apta à desconsideração da personalidade jurídica é aquela decorrente do cumprimento repetitivo pela sociedade de obrigações do sócio ou do administrador ou vice-versa.</w:t>
      </w:r>
    </w:p>
    <w:p w:rsidR="00000000" w:rsidDel="00000000" w:rsidP="00000000" w:rsidRDefault="00000000" w:rsidRPr="00000000" w14:paraId="000000DE">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3. A existência de apenas um único ato de assunção, pela sociedade empresária, de obrigação do sócio, por si só, não é, nos termos do artigo</w:t>
      </w:r>
      <w:hyperlink r:id="rId41">
        <w:r w:rsidDel="00000000" w:rsidR="00000000" w:rsidRPr="00000000">
          <w:rPr>
            <w:rFonts w:ascii="Times New Roman" w:cs="Times New Roman" w:eastAsia="Times New Roman" w:hAnsi="Times New Roman"/>
            <w:color w:val="202124"/>
            <w:sz w:val="20"/>
            <w:szCs w:val="20"/>
            <w:highlight w:val="white"/>
            <w:rtl w:val="0"/>
          </w:rPr>
          <w:t xml:space="preserve"> 50</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42">
        <w:r w:rsidDel="00000000" w:rsidR="00000000" w:rsidRPr="00000000">
          <w:rPr>
            <w:rFonts w:ascii="Times New Roman" w:cs="Times New Roman" w:eastAsia="Times New Roman" w:hAnsi="Times New Roman"/>
            <w:color w:val="202124"/>
            <w:sz w:val="20"/>
            <w:szCs w:val="20"/>
            <w:highlight w:val="white"/>
            <w:rtl w:val="0"/>
          </w:rPr>
          <w:t xml:space="preserve"> § 2º</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43">
        <w:r w:rsidDel="00000000" w:rsidR="00000000" w:rsidRPr="00000000">
          <w:rPr>
            <w:rFonts w:ascii="Times New Roman" w:cs="Times New Roman" w:eastAsia="Times New Roman" w:hAnsi="Times New Roman"/>
            <w:color w:val="202124"/>
            <w:sz w:val="20"/>
            <w:szCs w:val="20"/>
            <w:highlight w:val="white"/>
            <w:rtl w:val="0"/>
          </w:rPr>
          <w:t xml:space="preserve"> I</w:t>
        </w:r>
      </w:hyperlink>
      <w:r w:rsidDel="00000000" w:rsidR="00000000" w:rsidRPr="00000000">
        <w:rPr>
          <w:rFonts w:ascii="Times New Roman" w:cs="Times New Roman" w:eastAsia="Times New Roman" w:hAnsi="Times New Roman"/>
          <w:color w:val="202124"/>
          <w:sz w:val="20"/>
          <w:szCs w:val="20"/>
          <w:highlight w:val="white"/>
          <w:rtl w:val="0"/>
        </w:rPr>
        <w:t xml:space="preserve">, do</w:t>
      </w:r>
      <w:hyperlink r:id="rId44">
        <w:r w:rsidDel="00000000" w:rsidR="00000000" w:rsidRPr="00000000">
          <w:rPr>
            <w:rFonts w:ascii="Times New Roman" w:cs="Times New Roman" w:eastAsia="Times New Roman" w:hAnsi="Times New Roman"/>
            <w:color w:val="202124"/>
            <w:sz w:val="20"/>
            <w:szCs w:val="20"/>
            <w:highlight w:val="white"/>
            <w:rtl w:val="0"/>
          </w:rPr>
          <w:t xml:space="preserve"> Código Civil</w:t>
        </w:r>
      </w:hyperlink>
      <w:r w:rsidDel="00000000" w:rsidR="00000000" w:rsidRPr="00000000">
        <w:rPr>
          <w:rFonts w:ascii="Times New Roman" w:cs="Times New Roman" w:eastAsia="Times New Roman" w:hAnsi="Times New Roman"/>
          <w:color w:val="202124"/>
          <w:sz w:val="20"/>
          <w:szCs w:val="20"/>
          <w:highlight w:val="white"/>
          <w:rtl w:val="0"/>
        </w:rPr>
        <w:t xml:space="preserve">, suficiente para a caracterização da confusão patrimonial que fundamenta a desconsideração da personalidade jurídica.</w:t>
      </w:r>
    </w:p>
    <w:p w:rsidR="00000000" w:rsidDel="00000000" w:rsidP="00000000" w:rsidRDefault="00000000" w:rsidRPr="00000000" w14:paraId="000000DF">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4.</w:t>
      </w:r>
      <w:hyperlink r:id="rId45">
        <w:r w:rsidDel="00000000" w:rsidR="00000000" w:rsidRPr="00000000">
          <w:rPr>
            <w:rFonts w:ascii="Times New Roman" w:cs="Times New Roman" w:eastAsia="Times New Roman" w:hAnsi="Times New Roman"/>
            <w:color w:val="202124"/>
            <w:sz w:val="20"/>
            <w:szCs w:val="20"/>
            <w:highlight w:val="white"/>
            <w:rtl w:val="0"/>
          </w:rPr>
          <w:t xml:space="preserve"> Recurso conhecido e provido</w:t>
        </w:r>
      </w:hyperlink>
      <w:r w:rsidDel="00000000" w:rsidR="00000000" w:rsidRPr="00000000">
        <w:rPr>
          <w:rFonts w:ascii="Times New Roman" w:cs="Times New Roman" w:eastAsia="Times New Roman" w:hAnsi="Times New Roman"/>
          <w:color w:val="202124"/>
          <w:sz w:val="20"/>
          <w:szCs w:val="20"/>
          <w:highlight w:val="white"/>
          <w:rtl w:val="0"/>
        </w:rPr>
        <w:t xml:space="preserve">.</w:t>
      </w:r>
    </w:p>
    <w:p w:rsidR="00000000" w:rsidDel="00000000" w:rsidP="00000000" w:rsidRDefault="00000000" w:rsidRPr="00000000" w14:paraId="000000E0">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EMENTA AGRAVO INTERNO NO AGRAVO (ART.</w:t>
      </w:r>
      <w:hyperlink r:id="rId46">
        <w:r w:rsidDel="00000000" w:rsidR="00000000" w:rsidRPr="00000000">
          <w:rPr>
            <w:rFonts w:ascii="Times New Roman" w:cs="Times New Roman" w:eastAsia="Times New Roman" w:hAnsi="Times New Roman"/>
            <w:color w:val="202124"/>
            <w:sz w:val="20"/>
            <w:szCs w:val="20"/>
            <w:highlight w:val="white"/>
            <w:rtl w:val="0"/>
          </w:rPr>
          <w:t xml:space="preserve"> 1.042</w:t>
        </w:r>
      </w:hyperlink>
      <w:r w:rsidDel="00000000" w:rsidR="00000000" w:rsidRPr="00000000">
        <w:rPr>
          <w:rFonts w:ascii="Times New Roman" w:cs="Times New Roman" w:eastAsia="Times New Roman" w:hAnsi="Times New Roman"/>
          <w:color w:val="202124"/>
          <w:sz w:val="20"/>
          <w:szCs w:val="20"/>
          <w:highlight w:val="white"/>
          <w:rtl w:val="0"/>
        </w:rPr>
        <w:t xml:space="preserve"> DO</w:t>
      </w:r>
      <w:hyperlink r:id="rId47">
        <w:r w:rsidDel="00000000" w:rsidR="00000000" w:rsidRPr="00000000">
          <w:rPr>
            <w:rFonts w:ascii="Times New Roman" w:cs="Times New Roman" w:eastAsia="Times New Roman" w:hAnsi="Times New Roman"/>
            <w:color w:val="202124"/>
            <w:sz w:val="20"/>
            <w:szCs w:val="20"/>
            <w:highlight w:val="white"/>
            <w:rtl w:val="0"/>
          </w:rPr>
          <w:t xml:space="preserve"> NCPC</w:t>
        </w:r>
      </w:hyperlink>
      <w:r w:rsidDel="00000000" w:rsidR="00000000" w:rsidRPr="00000000">
        <w:rPr>
          <w:rFonts w:ascii="Times New Roman" w:cs="Times New Roman" w:eastAsia="Times New Roman" w:hAnsi="Times New Roman"/>
          <w:color w:val="202124"/>
          <w:sz w:val="20"/>
          <w:szCs w:val="20"/>
          <w:highlight w:val="white"/>
          <w:rtl w:val="0"/>
        </w:rPr>
        <w:t xml:space="preserve">)-</w:t>
      </w:r>
      <w:hyperlink r:id="rId48">
        <w:r w:rsidDel="00000000" w:rsidR="00000000" w:rsidRPr="00000000">
          <w:rPr>
            <w:rFonts w:ascii="Times New Roman" w:cs="Times New Roman" w:eastAsia="Times New Roman" w:hAnsi="Times New Roman"/>
            <w:color w:val="202124"/>
            <w:sz w:val="20"/>
            <w:szCs w:val="20"/>
            <w:highlight w:val="white"/>
            <w:rtl w:val="0"/>
          </w:rPr>
          <w:t xml:space="preserve"> EXECUÇÃO</w:t>
        </w:r>
      </w:hyperlink>
      <w:r w:rsidDel="00000000" w:rsidR="00000000" w:rsidRPr="00000000">
        <w:rPr>
          <w:rFonts w:ascii="Times New Roman" w:cs="Times New Roman" w:eastAsia="Times New Roman" w:hAnsi="Times New Roman"/>
          <w:color w:val="202124"/>
          <w:sz w:val="20"/>
          <w:szCs w:val="20"/>
          <w:highlight w:val="white"/>
          <w:rtl w:val="0"/>
        </w:rPr>
        <w:t xml:space="preserve"> -</w:t>
      </w:r>
      <w:hyperlink r:id="rId49">
        <w:r w:rsidDel="00000000" w:rsidR="00000000" w:rsidRPr="00000000">
          <w:rPr>
            <w:rFonts w:ascii="Times New Roman" w:cs="Times New Roman" w:eastAsia="Times New Roman" w:hAnsi="Times New Roman"/>
            <w:color w:val="202124"/>
            <w:sz w:val="20"/>
            <w:szCs w:val="20"/>
            <w:highlight w:val="white"/>
            <w:rtl w:val="0"/>
          </w:rPr>
          <w:t xml:space="preserve"> DESCONSIDERAÇÃO DA PERSONALIDADE JURÍDICA</w:t>
        </w:r>
      </w:hyperlink>
      <w:r w:rsidDel="00000000" w:rsidR="00000000" w:rsidRPr="00000000">
        <w:rPr>
          <w:rFonts w:ascii="Times New Roman" w:cs="Times New Roman" w:eastAsia="Times New Roman" w:hAnsi="Times New Roman"/>
          <w:color w:val="202124"/>
          <w:sz w:val="20"/>
          <w:szCs w:val="20"/>
          <w:highlight w:val="white"/>
          <w:rtl w:val="0"/>
        </w:rPr>
        <w:t xml:space="preserve"> - DECISÃO MONOCRÁTICA QUE DEU PROVIMENTO AO RECLAMO PARA AFASTAR A</w:t>
      </w:r>
      <w:hyperlink r:id="rId50">
        <w:r w:rsidDel="00000000" w:rsidR="00000000" w:rsidRPr="00000000">
          <w:rPr>
            <w:rFonts w:ascii="Times New Roman" w:cs="Times New Roman" w:eastAsia="Times New Roman" w:hAnsi="Times New Roman"/>
            <w:color w:val="202124"/>
            <w:sz w:val="20"/>
            <w:szCs w:val="20"/>
            <w:highlight w:val="white"/>
            <w:rtl w:val="0"/>
          </w:rPr>
          <w:t xml:space="preserve"> DESCONSIDERAÇÃO DA PERSONALIDADE JURÍDICA</w:t>
        </w:r>
      </w:hyperlink>
      <w:r w:rsidDel="00000000" w:rsidR="00000000" w:rsidRPr="00000000">
        <w:rPr>
          <w:rFonts w:ascii="Times New Roman" w:cs="Times New Roman" w:eastAsia="Times New Roman" w:hAnsi="Times New Roman"/>
          <w:color w:val="202124"/>
          <w:sz w:val="20"/>
          <w:szCs w:val="20"/>
          <w:highlight w:val="white"/>
          <w:rtl w:val="0"/>
        </w:rPr>
        <w:t xml:space="preserve"> DA EMPRESA.</w:t>
      </w:r>
      <w:hyperlink r:id="rId51">
        <w:r w:rsidDel="00000000" w:rsidR="00000000" w:rsidRPr="00000000">
          <w:rPr>
            <w:rFonts w:ascii="Times New Roman" w:cs="Times New Roman" w:eastAsia="Times New Roman" w:hAnsi="Times New Roman"/>
            <w:color w:val="202124"/>
            <w:sz w:val="20"/>
            <w:szCs w:val="20"/>
            <w:highlight w:val="white"/>
            <w:rtl w:val="0"/>
          </w:rPr>
          <w:t xml:space="preserve"> INSURGÊNCIA DO EXEQUENTE</w:t>
        </w:r>
      </w:hyperlink>
      <w:r w:rsidDel="00000000" w:rsidR="00000000" w:rsidRPr="00000000">
        <w:rPr>
          <w:rFonts w:ascii="Times New Roman" w:cs="Times New Roman" w:eastAsia="Times New Roman" w:hAnsi="Times New Roman"/>
          <w:color w:val="202124"/>
          <w:sz w:val="20"/>
          <w:szCs w:val="20"/>
          <w:highlight w:val="white"/>
          <w:rtl w:val="0"/>
        </w:rPr>
        <w:t xml:space="preserve">.</w:t>
      </w:r>
    </w:p>
    <w:p w:rsidR="00000000" w:rsidDel="00000000" w:rsidP="00000000" w:rsidRDefault="00000000" w:rsidRPr="00000000" w14:paraId="000000E1">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1. A teoria da desconsideração da personalidade jurídica, medida excepcional prevista no art.</w:t>
      </w:r>
      <w:hyperlink r:id="rId52">
        <w:r w:rsidDel="00000000" w:rsidR="00000000" w:rsidRPr="00000000">
          <w:rPr>
            <w:rFonts w:ascii="Times New Roman" w:cs="Times New Roman" w:eastAsia="Times New Roman" w:hAnsi="Times New Roman"/>
            <w:color w:val="202124"/>
            <w:sz w:val="20"/>
            <w:szCs w:val="20"/>
            <w:highlight w:val="white"/>
            <w:rtl w:val="0"/>
          </w:rPr>
          <w:t xml:space="preserve"> 50</w:t>
        </w:r>
      </w:hyperlink>
      <w:r w:rsidDel="00000000" w:rsidR="00000000" w:rsidRPr="00000000">
        <w:rPr>
          <w:rFonts w:ascii="Times New Roman" w:cs="Times New Roman" w:eastAsia="Times New Roman" w:hAnsi="Times New Roman"/>
          <w:color w:val="202124"/>
          <w:sz w:val="20"/>
          <w:szCs w:val="20"/>
          <w:highlight w:val="white"/>
          <w:rtl w:val="0"/>
        </w:rPr>
        <w:t xml:space="preserve"> do</w:t>
      </w:r>
      <w:hyperlink r:id="rId53">
        <w:r w:rsidDel="00000000" w:rsidR="00000000" w:rsidRPr="00000000">
          <w:rPr>
            <w:rFonts w:ascii="Times New Roman" w:cs="Times New Roman" w:eastAsia="Times New Roman" w:hAnsi="Times New Roman"/>
            <w:color w:val="202124"/>
            <w:sz w:val="20"/>
            <w:szCs w:val="20"/>
            <w:highlight w:val="white"/>
            <w:rtl w:val="0"/>
          </w:rPr>
          <w:t xml:space="preserve"> Código Civil de 2002</w:t>
        </w:r>
      </w:hyperlink>
      <w:r w:rsidDel="00000000" w:rsidR="00000000" w:rsidRPr="00000000">
        <w:rPr>
          <w:rFonts w:ascii="Times New Roman" w:cs="Times New Roman" w:eastAsia="Times New Roman" w:hAnsi="Times New Roman"/>
          <w:color w:val="202124"/>
          <w:sz w:val="20"/>
          <w:szCs w:val="20"/>
          <w:highlight w:val="white"/>
          <w:rtl w:val="0"/>
        </w:rPr>
        <w:t xml:space="preserve">, pressupõe a ocorrência de abusos da sociedade, advindos do desvio de finalidade ou da demonstração de confusão patrimonial.</w:t>
      </w:r>
    </w:p>
    <w:p w:rsidR="00000000" w:rsidDel="00000000" w:rsidP="00000000" w:rsidRDefault="00000000" w:rsidRPr="00000000" w14:paraId="000000E2">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2. A mera inexistência de bens penhoráveis ou eventual encerramento irregular das atividades da empresa não ensejam a desconsideração da personalidade jurídica.</w:t>
      </w:r>
    </w:p>
    <w:p w:rsidR="00000000" w:rsidDel="00000000" w:rsidP="00000000" w:rsidRDefault="00000000" w:rsidRPr="00000000" w14:paraId="000000E3">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3. Manutenção da decisão monocrática que, ante a ausência dos requisitos previstos no art.</w:t>
      </w:r>
      <w:hyperlink r:id="rId54">
        <w:r w:rsidDel="00000000" w:rsidR="00000000" w:rsidRPr="00000000">
          <w:rPr>
            <w:rFonts w:ascii="Times New Roman" w:cs="Times New Roman" w:eastAsia="Times New Roman" w:hAnsi="Times New Roman"/>
            <w:color w:val="202124"/>
            <w:sz w:val="20"/>
            <w:szCs w:val="20"/>
            <w:highlight w:val="white"/>
            <w:rtl w:val="0"/>
          </w:rPr>
          <w:t xml:space="preserve"> 50</w:t>
        </w:r>
      </w:hyperlink>
      <w:r w:rsidDel="00000000" w:rsidR="00000000" w:rsidRPr="00000000">
        <w:rPr>
          <w:rFonts w:ascii="Times New Roman" w:cs="Times New Roman" w:eastAsia="Times New Roman" w:hAnsi="Times New Roman"/>
          <w:color w:val="202124"/>
          <w:sz w:val="20"/>
          <w:szCs w:val="20"/>
          <w:highlight w:val="white"/>
          <w:rtl w:val="0"/>
        </w:rPr>
        <w:t xml:space="preserve"> do</w:t>
      </w:r>
      <w:hyperlink r:id="rId55">
        <w:r w:rsidDel="00000000" w:rsidR="00000000" w:rsidRPr="00000000">
          <w:rPr>
            <w:rFonts w:ascii="Times New Roman" w:cs="Times New Roman" w:eastAsia="Times New Roman" w:hAnsi="Times New Roman"/>
            <w:color w:val="202124"/>
            <w:sz w:val="20"/>
            <w:szCs w:val="20"/>
            <w:highlight w:val="white"/>
            <w:rtl w:val="0"/>
          </w:rPr>
          <w:t xml:space="preserve"> CC/2002</w:t>
        </w:r>
      </w:hyperlink>
      <w:r w:rsidDel="00000000" w:rsidR="00000000" w:rsidRPr="00000000">
        <w:rPr>
          <w:rFonts w:ascii="Times New Roman" w:cs="Times New Roman" w:eastAsia="Times New Roman" w:hAnsi="Times New Roman"/>
          <w:color w:val="202124"/>
          <w:sz w:val="20"/>
          <w:szCs w:val="20"/>
          <w:highlight w:val="white"/>
          <w:rtl w:val="0"/>
        </w:rPr>
        <w:t xml:space="preserve">, afastou a desconsideração da personalidade jurídica.</w:t>
      </w:r>
    </w:p>
    <w:p w:rsidR="00000000" w:rsidDel="00000000" w:rsidP="00000000" w:rsidRDefault="00000000" w:rsidRPr="00000000" w14:paraId="000000E4">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4.</w:t>
      </w:r>
      <w:hyperlink r:id="rId56">
        <w:r w:rsidDel="00000000" w:rsidR="00000000" w:rsidRPr="00000000">
          <w:rPr>
            <w:rFonts w:ascii="Times New Roman" w:cs="Times New Roman" w:eastAsia="Times New Roman" w:hAnsi="Times New Roman"/>
            <w:color w:val="202124"/>
            <w:sz w:val="20"/>
            <w:szCs w:val="20"/>
            <w:highlight w:val="white"/>
            <w:rtl w:val="0"/>
          </w:rPr>
          <w:t xml:space="preserve"> Agravo interno desprovido</w:t>
        </w:r>
      </w:hyperlink>
      <w:r w:rsidDel="00000000" w:rsidR="00000000" w:rsidRPr="00000000">
        <w:rPr>
          <w:rFonts w:ascii="Times New Roman" w:cs="Times New Roman" w:eastAsia="Times New Roman" w:hAnsi="Times New Roman"/>
          <w:color w:val="202124"/>
          <w:sz w:val="20"/>
          <w:szCs w:val="20"/>
          <w:highlight w:val="white"/>
          <w:rtl w:val="0"/>
        </w:rPr>
        <w:t xml:space="preserve">.</w:t>
      </w:r>
    </w:p>
    <w:p w:rsidR="00000000" w:rsidDel="00000000" w:rsidP="00000000" w:rsidRDefault="00000000" w:rsidRPr="00000000" w14:paraId="000000E5">
      <w:pPr>
        <w:spacing w:after="240" w:before="240" w:line="276" w:lineRule="auto"/>
        <w:ind w:left="2260"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 </w:t>
      </w:r>
    </w:p>
    <w:p w:rsidR="00000000" w:rsidDel="00000000" w:rsidP="00000000" w:rsidRDefault="00000000" w:rsidRPr="00000000" w14:paraId="000000E6">
      <w:pPr>
        <w:spacing w:after="240" w:before="240" w:line="360" w:lineRule="auto"/>
        <w:ind w:firstLine="700"/>
        <w:jc w:val="both"/>
        <w:rPr>
          <w:rFonts w:ascii="Times New Roman" w:cs="Times New Roman" w:eastAsia="Times New Roman" w:hAnsi="Times New Roman"/>
          <w:b w:val="1"/>
          <w:color w:val="202124"/>
          <w:sz w:val="32"/>
          <w:szCs w:val="32"/>
          <w:highlight w:val="white"/>
        </w:rPr>
      </w:pPr>
      <w:r w:rsidDel="00000000" w:rsidR="00000000" w:rsidRPr="00000000">
        <w:rPr>
          <w:rFonts w:ascii="Times New Roman" w:cs="Times New Roman" w:eastAsia="Times New Roman" w:hAnsi="Times New Roman"/>
          <w:b w:val="1"/>
          <w:color w:val="202124"/>
          <w:sz w:val="32"/>
          <w:szCs w:val="32"/>
          <w:highlight w:val="white"/>
          <w:rtl w:val="0"/>
        </w:rPr>
        <w:t xml:space="preserve">IV –   </w:t>
        <w:tab/>
        <w:t xml:space="preserve">QUANTO À DENÚNCIA CRIMINAL</w:t>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No ano de 2019, foi instaurado um inquérito policial contra o titular da empresa “MD Technologies”, sob a justificativa de que o empresário havia se negado a fornecer, por diversas vezes, nota fiscal relativa à comercialização de produtos, conduta que contraria a Lei de nº 8.137/90, que prevê:</w:t>
      </w:r>
    </w:p>
    <w:p w:rsidR="00000000" w:rsidDel="00000000" w:rsidP="00000000" w:rsidRDefault="00000000" w:rsidRPr="00000000" w14:paraId="000000E8">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1° Constitui crime contra a ordem tributária suprimir ou reduzir tributo, ou contribuição social e qualquer acessório, mediante as seguintes condutas: [...] V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0E9">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Embora Márcio Dias tenha sido chamado inúmeras vezes para comparecer à Delegacia a fim de esclarecer esses fatos, ele não marcou presença, tendo em vista que acreditava, </w:t>
      </w:r>
      <w:sdt>
        <w:sdtPr>
          <w:tag w:val="goog_rdk_4"/>
        </w:sdtPr>
        <w:sdtContent>
          <w:commentRangeStart w:id="4"/>
        </w:sdtContent>
      </w:sdt>
      <w:r w:rsidDel="00000000" w:rsidR="00000000" w:rsidRPr="00000000">
        <w:rPr>
          <w:rFonts w:ascii="Times New Roman" w:cs="Times New Roman" w:eastAsia="Times New Roman" w:hAnsi="Times New Roman"/>
          <w:color w:val="202124"/>
          <w:sz w:val="24"/>
          <w:szCs w:val="24"/>
          <w:highlight w:val="white"/>
          <w:rtl w:val="0"/>
        </w:rPr>
        <w:t xml:space="preserve">com absoluta certeza</w:t>
      </w:r>
      <w:commentRangeEnd w:id="4"/>
      <w:r w:rsidDel="00000000" w:rsidR="00000000" w:rsidRPr="00000000">
        <w:commentReference w:id="4"/>
      </w:r>
      <w:r w:rsidDel="00000000" w:rsidR="00000000" w:rsidRPr="00000000">
        <w:rPr>
          <w:rFonts w:ascii="Times New Roman" w:cs="Times New Roman" w:eastAsia="Times New Roman" w:hAnsi="Times New Roman"/>
          <w:color w:val="202124"/>
          <w:sz w:val="24"/>
          <w:szCs w:val="24"/>
          <w:highlight w:val="white"/>
          <w:rtl w:val="0"/>
        </w:rPr>
        <w:t xml:space="preserve">, que deixar de apresentar notas fiscais não passava de uma mera irregularidade, desconhecendo a lei supracitada.</w:t>
      </w:r>
    </w:p>
    <w:p w:rsidR="00000000" w:rsidDel="00000000" w:rsidP="00000000" w:rsidRDefault="00000000" w:rsidRPr="00000000" w14:paraId="000000EA">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Diante das informações apontadas, pode-se concluir que a tese que poderia ser aplicada em sua defesa é a do “erro de proibição inescusável”.</w:t>
      </w:r>
    </w:p>
    <w:p w:rsidR="00000000" w:rsidDel="00000000" w:rsidP="00000000" w:rsidRDefault="00000000" w:rsidRPr="00000000" w14:paraId="000000EB">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Para tornar compreensível a afirmação acima, é importante esclarecer que, no âmbito do Direito Penal, para haver a aplicação de culpabilidade penal (juízo de reprovabilidade de determinada conduta), é necessário a análise dos seguintes elementos: imputabilidade, potencial consciência da ilicitude, exigibilidade de conduta diversa.</w:t>
      </w:r>
    </w:p>
    <w:p w:rsidR="00000000" w:rsidDel="00000000" w:rsidP="00000000" w:rsidRDefault="00000000" w:rsidRPr="00000000" w14:paraId="000000EC">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Segue uma brevíssima definição dos fundamentos supramencionados:</w:t>
      </w:r>
    </w:p>
    <w:p w:rsidR="00000000" w:rsidDel="00000000" w:rsidP="00000000" w:rsidRDefault="00000000" w:rsidRPr="00000000" w14:paraId="000000ED">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-Imputabilidade: trata-se da possibilidade de atribuição de responsabilidade por fato criminoso a alguém. Não são passíveis de recebimento de pena os menores de dezoito anos de idade e os indivíduos que, no momento do crime, em razão de doença mental ou de embriaguez fortuita, não eram inteiramente capazes de compreender o caráter ilícito do fato.</w:t>
      </w:r>
    </w:p>
    <w:p w:rsidR="00000000" w:rsidDel="00000000" w:rsidP="00000000" w:rsidRDefault="00000000" w:rsidRPr="00000000" w14:paraId="000000EE">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-Potencial consciência da ilicitude: diz respeito à capacidade de discernimento do caráter ilícito do fato. Nesse sentido, insta frisar o conceito de “erro de proibição”, que pode ser classificado em “inevitável” quando o agente age sem o conhecimento da ilegalidade de sua conduta, na medida em que não lhe era possível ter essa consciência. É “evitável” quando o agente desconhece o aspecto criminoso de sua atitude, contudo, era esperado que tivesse tal consciência, dadas as circunstâncias do caso.</w:t>
      </w:r>
    </w:p>
    <w:p w:rsidR="00000000" w:rsidDel="00000000" w:rsidP="00000000" w:rsidRDefault="00000000" w:rsidRPr="00000000" w14:paraId="000000EF">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-Exigibilidade de conduta diversa: versa sobre a possibilidade de agir de acordo com os princípios constitucionais. São excludentes de penalidade as seguintes situações: coação moral irresistível ou obediência hierárquica, isto é, quando o agente, em cumprimento a ordem não manifestamente ilegal de superior hierárquico, acaba por praticar um delito.</w:t>
      </w:r>
    </w:p>
    <w:p w:rsidR="00000000" w:rsidDel="00000000" w:rsidP="00000000" w:rsidRDefault="00000000" w:rsidRPr="00000000" w14:paraId="000000F0">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Em face às definições, conclui-se que o evento que envolve Márcio Dias enquadra-se, certamente, na hipótese de erro de proibição evitável. Isso porque, o consulente não sabia que não ceder nota fiscal de mercadorias era um crime, acreditando ser uma simples irregularidade de sua empresa. Esperava-se, entretanto, que ele tivesse consciência dessa lei tributária, haja vista sua posição social de renomado empresário.</w:t>
      </w:r>
    </w:p>
    <w:p w:rsidR="00000000" w:rsidDel="00000000" w:rsidP="00000000" w:rsidRDefault="00000000" w:rsidRPr="00000000" w14:paraId="000000F1">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É o que estabelece o Código Penal:</w:t>
      </w:r>
    </w:p>
    <w:p w:rsidR="00000000" w:rsidDel="00000000" w:rsidP="00000000" w:rsidRDefault="00000000" w:rsidRPr="00000000" w14:paraId="000000F2">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Art. 21 - O desconhecimento da lei é inescusável. O erro sobre a ilicitude do fato, se inevitável, isenta de pena; se evitável, poderá diminuí-la de um sexto a um terço.</w:t>
      </w:r>
      <w:hyperlink r:id="rId57">
        <w:r w:rsidDel="00000000" w:rsidR="00000000" w:rsidRPr="00000000">
          <w:rPr>
            <w:rFonts w:ascii="Times New Roman" w:cs="Times New Roman" w:eastAsia="Times New Roman" w:hAnsi="Times New Roman"/>
            <w:color w:val="202124"/>
            <w:sz w:val="20"/>
            <w:szCs w:val="20"/>
            <w:highlight w:val="white"/>
            <w:rtl w:val="0"/>
          </w:rPr>
          <w:t xml:space="preserve"> (Redação dada pela Lei nº 7.209, de 11.7.1984)</w:t>
        </w:r>
      </w:hyperlink>
      <w:r w:rsidDel="00000000" w:rsidR="00000000" w:rsidRPr="00000000">
        <w:rPr>
          <w:rtl w:val="0"/>
        </w:rPr>
      </w:r>
    </w:p>
    <w:p w:rsidR="00000000" w:rsidDel="00000000" w:rsidP="00000000" w:rsidRDefault="00000000" w:rsidRPr="00000000" w14:paraId="000000F3">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ab/>
        <w:t xml:space="preserve">    </w:t>
        <w:tab/>
        <w:t xml:space="preserve">Parágrafo único - Considera-se evitável o erro se o agente atua ou se omite sem a consciência da ilicitude do fato, quando lhe era possível, nas circunstâncias, ter ou atingir essa consciência.</w:t>
      </w:r>
      <w:hyperlink r:id="rId58">
        <w:r w:rsidDel="00000000" w:rsidR="00000000" w:rsidRPr="00000000">
          <w:rPr>
            <w:rFonts w:ascii="Times New Roman" w:cs="Times New Roman" w:eastAsia="Times New Roman" w:hAnsi="Times New Roman"/>
            <w:color w:val="202124"/>
            <w:sz w:val="20"/>
            <w:szCs w:val="20"/>
            <w:highlight w:val="white"/>
            <w:rtl w:val="0"/>
          </w:rPr>
          <w:t xml:space="preserve"> (Redação dada pela Lei nº 7.209, de 11.7.1984)</w:t>
        </w:r>
      </w:hyperlink>
      <w:r w:rsidDel="00000000" w:rsidR="00000000" w:rsidRPr="00000000">
        <w:rPr>
          <w:rtl w:val="0"/>
        </w:rPr>
      </w:r>
    </w:p>
    <w:p w:rsidR="00000000" w:rsidDel="00000000" w:rsidP="00000000" w:rsidRDefault="00000000" w:rsidRPr="00000000" w14:paraId="000000F4">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 </w:t>
      </w:r>
    </w:p>
    <w:p w:rsidR="00000000" w:rsidDel="00000000" w:rsidP="00000000" w:rsidRDefault="00000000" w:rsidRPr="00000000" w14:paraId="000000F5">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Diante do exposto, é válido mencionar o pensamento de André Estefam e de Hans Welzel, figuras ilustres do Direito Penal, dado que afirmam, respectivamente:</w:t>
      </w:r>
    </w:p>
    <w:p w:rsidR="00000000" w:rsidDel="00000000" w:rsidP="00000000" w:rsidRDefault="00000000" w:rsidRPr="00000000" w14:paraId="000000F6">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“(...)para merecer uma pena, o sujeito deve ter agido na consciência de que sua conduta era ilícita, se não detiver o necessário conhecimento da proibição (que não se confunde com o desconhecimento da lei, o qual é inescusável), sua ação ou omissão não terá a mesma reprovabilidade”.</w:t>
      </w:r>
    </w:p>
    <w:p w:rsidR="00000000" w:rsidDel="00000000" w:rsidP="00000000" w:rsidRDefault="00000000" w:rsidRPr="00000000" w14:paraId="000000F7">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“O autor sabe o que faz, mas erroneamente crê que é permitido (BHG 2, 197); não conhece a norma jurídica ou não conhece bem, ou supõe equivocadamente que ocorre uma causa de justificação. Cada um desses erros exclui a reprovabilidade se for escusável, ou a diminui (…)”.</w:t>
      </w:r>
    </w:p>
    <w:p w:rsidR="00000000" w:rsidDel="00000000" w:rsidP="00000000" w:rsidRDefault="00000000" w:rsidRPr="00000000" w14:paraId="000000F8">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Sobre “erro de proibição evitável”, cabe mencionar o seguinte entendimento jurisprudencial:</w:t>
      </w:r>
    </w:p>
    <w:p w:rsidR="00000000" w:rsidDel="00000000" w:rsidP="00000000" w:rsidRDefault="00000000" w:rsidRPr="00000000" w14:paraId="000000F9">
      <w:pPr>
        <w:spacing w:after="240" w:before="240" w:line="276" w:lineRule="auto"/>
        <w:ind w:left="2260" w:firstLine="0"/>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0"/>
          <w:szCs w:val="20"/>
          <w:highlight w:val="white"/>
          <w:rtl w:val="0"/>
        </w:rPr>
        <w:t xml:space="preserve">APELAÇÃO CRIMINAL - Sonegação fiscal – Recurso do Ministério Público – Aumento da pena-base, reconhecimento do concurso material ou maior acréscimo para a continuidade delitiva, fixação da causa de aumento prevista no art. 12, I, da Lei nº 8.137/90, no patamar 1/3, adoção do regime prisional semiaberto e afastamento da substituição da carcerária por restritiva de direitos e multa – Recurso defensivo – Preliminares de inépcia da denúncia, nulidade da Certidão de Dívida Ativa – CDA – e cerceamento de defesa, em virtude do indeferimento de diligências – No mérito, absolvição por atipicidade da conduta, ausência de dolo, erro de tipo, de proibição ou determinado por terceiro, inexigibilidade de conduta diversa e fragilidade probatória – Teses alternativas de erro de proibição evitável, desclassificação para a modalidade tentada ou para a figura típica prevista no art. 2º , I, da Lei nº 8.137/90, com a aplicação dos institutos da Lei 9.099/95, redução da multa da prestação pecuniária e reconhecimento de crime único – Preliminares rejeitadas – Denúncia que contém os requisitos do art. 41, do CPP- CDA de acordo com as disposições contidas na Lei nº .830/80 – Indeferimento de diligências impertinentes ou protelatórias que se incluem na esfera de discricionariedade regrada do magistrado – Prejuízo não demonstrado – Materialidade e autoria demonstradas – Auto de infração e imposição de multa ratificado pelo depoimento do agente fiscal de rendas – Dolo configurado – Conduta típica - Alegação de erro de tipo, de proibição ou determinado por terceiro afastada diante da comprovação do elemento subjetivo – Impossibilidade de reconhecimento da inexigibilidade de conduta diversa somente pela alegação de dificuldade financeira da empresa ou desconhecimento dos procedimentos fiscais por parte do acusado – Impossibilidade de desclassificação da conduta diante da obtenção do resultado naturalístico, bem como em razão do acusado ter praticado infrações decorrentes de creditamento indevido de ICMS com base em documentos inidôneos – Manutenção da pena de partida no mínimo legal – Processos em andamento não têm o condão de exasperá-la, em obediência ao princípio da presunção de inocência – Inteligência da Súmula 444, do STJ - Manutenção da continuidade delitiva, com a exasperação de ¼, diante da prática de quatro crimes da mesma espécie, nas mesmas condições de tempo, lugar e maneira de execução – Inviabilidade de reconhecimento de crime único ou concurso material - Acréscimo de 1/3 em virtude da causa de aumento prevista no art. 12, I, da Lei nº 8.137/90 – Grave dano à coletividade demonstrado – Regime aberto e substituição da pena corporal suficientes para reprovação e prevenção de crimes desta espécie – Valores das penas pecuniárias, cumulativa e substitutiva, fixados no valor unitário mínimo legal, diante da inexistência de comprovação da capacidade econômica do agente – Recursos parcialmente providos. (Trinunal de Justiça de São Paulo – TJ-SP- Apelação Criminal: APR XXXXX-94.2018.8.26.0358 SP XXXXX-94.2018.8.26.0358).</w:t>
      </w:r>
    </w:p>
    <w:p w:rsidR="00000000" w:rsidDel="00000000" w:rsidP="00000000" w:rsidRDefault="00000000" w:rsidRPr="00000000" w14:paraId="000000FA">
      <w:pPr>
        <w:spacing w:after="240" w:before="240" w:line="360" w:lineRule="auto"/>
        <w:ind w:firstLine="700"/>
        <w:jc w:val="both"/>
        <w:rPr>
          <w:rFonts w:ascii="Times New Roman" w:cs="Times New Roman" w:eastAsia="Times New Roman" w:hAnsi="Times New Roman"/>
          <w:color w:val="202124"/>
          <w:sz w:val="24"/>
          <w:szCs w:val="24"/>
          <w:highlight w:val="white"/>
        </w:rPr>
      </w:pPr>
      <w:sdt>
        <w:sdtPr>
          <w:tag w:val="goog_rdk_5"/>
        </w:sdtPr>
        <w:sdtContent>
          <w:commentRangeStart w:id="5"/>
        </w:sdtContent>
      </w:sdt>
      <w:r w:rsidDel="00000000" w:rsidR="00000000" w:rsidRPr="00000000">
        <w:rPr>
          <w:rFonts w:ascii="Times New Roman" w:cs="Times New Roman" w:eastAsia="Times New Roman" w:hAnsi="Times New Roman"/>
          <w:color w:val="202124"/>
          <w:sz w:val="24"/>
          <w:szCs w:val="24"/>
          <w:highlight w:val="white"/>
          <w:rtl w:val="0"/>
        </w:rPr>
        <w:t xml:space="preserve">Tem-se, pois, que a defesa de Márcio poderá ser pautada em “erro de proibição evitável”, forma pela qual será possível que sua pena seja atenuada.</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FB">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Em face do exposto, opina-se pelo acerto da comissão interna de indeferir a candidatura de Márcio Dias a deputado federal do estado de São Paulo nas eleições de 2022, haja vista a clara hipótese de inelegibilidade por parentesco.</w:t>
      </w:r>
    </w:p>
    <w:p w:rsidR="00000000" w:rsidDel="00000000" w:rsidP="00000000" w:rsidRDefault="00000000" w:rsidRPr="00000000" w14:paraId="000000FC">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Ademais, no que diz respeito ao comparecimento à audiência de instrução e julgamento na cidade de Mogi das Cruzes, considera-se que não é necessário que o consulente compareça fisicamente, uma vez que pode fornecer depoimento da cidade de São Paulo, onde atualmente reside, mediante sala passiva.</w:t>
      </w:r>
    </w:p>
    <w:p w:rsidR="00000000" w:rsidDel="00000000" w:rsidP="00000000" w:rsidRDefault="00000000" w:rsidRPr="00000000" w14:paraId="000000FD">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Outrossim, é fato que a desconsideração da personalidade jurídica da empresa “MD Technologies” pode ser efetuada, visto que Márcio deixou claras evidências de confusão patrimonial.</w:t>
      </w:r>
    </w:p>
    <w:p w:rsidR="00000000" w:rsidDel="00000000" w:rsidP="00000000" w:rsidRDefault="00000000" w:rsidRPr="00000000" w14:paraId="000000FE">
      <w:pPr>
        <w:spacing w:after="240" w:before="240" w:line="360" w:lineRule="auto"/>
        <w:ind w:firstLine="700"/>
        <w:jc w:val="both"/>
        <w:rPr>
          <w:rFonts w:ascii="Times New Roman" w:cs="Times New Roman" w:eastAsia="Times New Roman" w:hAnsi="Times New Roman"/>
          <w:color w:val="202124"/>
          <w:sz w:val="24"/>
          <w:szCs w:val="24"/>
          <w:highlight w:val="white"/>
        </w:rPr>
      </w:pPr>
      <w:sdt>
        <w:sdtPr>
          <w:tag w:val="goog_rdk_6"/>
        </w:sdtPr>
        <w:sdtContent>
          <w:commentRangeStart w:id="6"/>
        </w:sdtContent>
      </w:sdt>
      <w:r w:rsidDel="00000000" w:rsidR="00000000" w:rsidRPr="00000000">
        <w:rPr>
          <w:rFonts w:ascii="Times New Roman" w:cs="Times New Roman" w:eastAsia="Times New Roman" w:hAnsi="Times New Roman"/>
          <w:color w:val="202124"/>
          <w:sz w:val="24"/>
          <w:szCs w:val="24"/>
          <w:highlight w:val="white"/>
          <w:rtl w:val="0"/>
        </w:rPr>
        <w:t xml:space="preserve">Para finalizar, há de se considerar a ideia de “erro de proibição evitável” para a realização da defesa de Márcio ante ao órgão jurisdicional</w:t>
      </w:r>
      <w:commentRangeEnd w:id="6"/>
      <w:r w:rsidDel="00000000" w:rsidR="00000000" w:rsidRPr="00000000">
        <w:commentReference w:id="6"/>
      </w:r>
      <w:r w:rsidDel="00000000" w:rsidR="00000000" w:rsidRPr="00000000">
        <w:rPr>
          <w:rFonts w:ascii="Times New Roman" w:cs="Times New Roman" w:eastAsia="Times New Roman" w:hAnsi="Times New Roman"/>
          <w:color w:val="202124"/>
          <w:sz w:val="24"/>
          <w:szCs w:val="24"/>
          <w:highlight w:val="white"/>
          <w:rtl w:val="0"/>
        </w:rPr>
        <w:t xml:space="preserve">.</w:t>
      </w:r>
    </w:p>
    <w:p w:rsidR="00000000" w:rsidDel="00000000" w:rsidP="00000000" w:rsidRDefault="00000000" w:rsidRPr="00000000" w14:paraId="000000FF">
      <w:pPr>
        <w:spacing w:after="240" w:before="240" w:line="360" w:lineRule="auto"/>
        <w:ind w:firstLine="70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É o parecer, salvo melhor juízo.</w:t>
      </w:r>
    </w:p>
    <w:p w:rsidR="00000000" w:rsidDel="00000000" w:rsidP="00000000" w:rsidRDefault="00000000" w:rsidRPr="00000000" w14:paraId="00000100">
      <w:pPr>
        <w:spacing w:after="240" w:before="240" w:line="360" w:lineRule="auto"/>
        <w:ind w:firstLine="700"/>
        <w:jc w:val="center"/>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01">
      <w:pPr>
        <w:spacing w:after="240" w:before="240" w:line="360" w:lineRule="auto"/>
        <w:ind w:firstLine="700"/>
        <w:jc w:val="center"/>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São João da Boa Vista, 2022.</w:t>
      </w:r>
    </w:p>
    <w:p w:rsidR="00000000" w:rsidDel="00000000" w:rsidP="00000000" w:rsidRDefault="00000000" w:rsidRPr="00000000" w14:paraId="00000102">
      <w:pPr>
        <w:spacing w:after="240" w:before="240" w:line="360" w:lineRule="auto"/>
        <w:ind w:firstLine="700"/>
        <w:jc w:val="center"/>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03">
      <w:pPr>
        <w:spacing w:after="200" w:before="240" w:line="420" w:lineRule="auto"/>
        <w:jc w:val="center"/>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 </w:t>
      </w:r>
      <w:sdt>
        <w:sdtPr>
          <w:tag w:val="goog_rdk_7"/>
        </w:sdtPr>
        <w:sdtContent>
          <w:commentRangeStart w:id="7"/>
        </w:sdtContent>
      </w:sdt>
      <w:r w:rsidDel="00000000" w:rsidR="00000000" w:rsidRPr="00000000">
        <w:rPr>
          <w:rFonts w:ascii="Times New Roman" w:cs="Times New Roman" w:eastAsia="Times New Roman" w:hAnsi="Times New Roman"/>
          <w:color w:val="202124"/>
          <w:sz w:val="24"/>
          <w:szCs w:val="24"/>
          <w:highlight w:val="white"/>
          <w:rtl w:val="0"/>
        </w:rPr>
        <w:t xml:space="preserve"> Fernanda de Lima Salvi, Giovanni Augusto Luqueta, Luiza Ferraz Campese</w:t>
      </w:r>
    </w:p>
    <w:p w:rsidR="00000000" w:rsidDel="00000000" w:rsidP="00000000" w:rsidRDefault="00000000" w:rsidRPr="00000000" w14:paraId="00000104">
      <w:pPr>
        <w:spacing w:after="200" w:before="240" w:line="420" w:lineRule="auto"/>
        <w:jc w:val="center"/>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RA 21000872 / RA 22001772 / RA 21000045</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105">
      <w:pPr>
        <w:spacing w:after="240" w:before="240" w:line="360" w:lineRule="auto"/>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106">
      <w:pPr>
        <w:spacing w:after="240" w:before="240" w:line="360" w:lineRule="auto"/>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107">
      <w:pPr>
        <w:spacing w:after="240" w:before="240" w:line="360" w:lineRule="auto"/>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108">
      <w:pPr>
        <w:spacing w:after="240" w:before="240" w:line="360" w:lineRule="auto"/>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109">
      <w:pPr>
        <w:spacing w:after="240" w:before="240" w:line="360" w:lineRule="auto"/>
        <w:jc w:val="both"/>
        <w:rPr>
          <w:rFonts w:ascii="Times New Roman" w:cs="Times New Roman" w:eastAsia="Times New Roman" w:hAnsi="Times New Roman"/>
          <w:b w:val="1"/>
          <w:color w:val="202124"/>
          <w:sz w:val="32"/>
          <w:szCs w:val="32"/>
          <w:highlight w:val="white"/>
        </w:rPr>
      </w:pPr>
      <w:r w:rsidDel="00000000" w:rsidR="00000000" w:rsidRPr="00000000">
        <w:rPr>
          <w:rtl w:val="0"/>
        </w:rPr>
      </w:r>
    </w:p>
    <w:p w:rsidR="00000000" w:rsidDel="00000000" w:rsidP="00000000" w:rsidRDefault="00000000" w:rsidRPr="00000000" w14:paraId="0000010A">
      <w:pPr>
        <w:spacing w:after="240" w:before="240" w:line="360" w:lineRule="auto"/>
        <w:jc w:val="both"/>
        <w:rPr>
          <w:rFonts w:ascii="Times New Roman" w:cs="Times New Roman" w:eastAsia="Times New Roman" w:hAnsi="Times New Roman"/>
          <w:b w:val="1"/>
          <w:color w:val="202124"/>
          <w:sz w:val="32"/>
          <w:szCs w:val="32"/>
          <w:highlight w:val="white"/>
        </w:rPr>
      </w:pPr>
      <w:r w:rsidDel="00000000" w:rsidR="00000000" w:rsidRPr="00000000">
        <w:rPr>
          <w:rFonts w:ascii="Times New Roman" w:cs="Times New Roman" w:eastAsia="Times New Roman" w:hAnsi="Times New Roman"/>
          <w:b w:val="1"/>
          <w:color w:val="202124"/>
          <w:sz w:val="32"/>
          <w:szCs w:val="32"/>
          <w:highlight w:val="white"/>
          <w:rtl w:val="0"/>
        </w:rPr>
        <w:t xml:space="preserve">REFERÊNCIAS</w:t>
      </w:r>
    </w:p>
    <w:p w:rsidR="00000000" w:rsidDel="00000000" w:rsidP="00000000" w:rsidRDefault="00000000" w:rsidRPr="00000000" w14:paraId="0000010B">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BRAGA NETTO, Felipe Peixoto. Manual de direito do consumidor: à luz da jurisprudência do STJ. Editora Juspodivm. 10. ed. Salvador, 2015.</w:t>
      </w:r>
    </w:p>
    <w:p w:rsidR="00000000" w:rsidDel="00000000" w:rsidP="00000000" w:rsidRDefault="00000000" w:rsidRPr="00000000" w14:paraId="0000010C">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BRASIL. Constituição da República Federativa do Brasil, de 05.10.1988. Brasília, 1988. Disponível em: &lt;http://www.planalto.gov.br/ccivil_03/Constituicao/Constituiçao</w:t>
      </w:r>
    </w:p>
    <w:p w:rsidR="00000000" w:rsidDel="00000000" w:rsidP="00000000" w:rsidRDefault="00000000" w:rsidRPr="00000000" w14:paraId="0000010D">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CARNELUTTI, Francisco. A prova, 4º ed. Campinas: Brookseller, 2005. https://jus.com.br/artigos/23987/o-depoimento-pessoal-e-o-interrogatorio-livre-a-luz-da-constituicao-federal</w:t>
      </w:r>
    </w:p>
    <w:p w:rsidR="00000000" w:rsidDel="00000000" w:rsidP="00000000" w:rsidRDefault="00000000" w:rsidRPr="00000000" w14:paraId="0000010E">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CARVALHO, Kildare Gonçalves. Direito constitucional. 18. ed., rev. atual. e ampl. Belo Horizonte: Del Rey, 2012.</w:t>
      </w:r>
    </w:p>
    <w:p w:rsidR="00000000" w:rsidDel="00000000" w:rsidP="00000000" w:rsidRDefault="00000000" w:rsidRPr="00000000" w14:paraId="0000010F">
      <w:pPr>
        <w:spacing w:after="240" w:before="240" w:line="360" w:lineRule="auto"/>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COELHO, Fabio Ulhôa. Curso de direito comercial: direito de empresa, p. 61.</w:t>
      </w:r>
      <w:r w:rsidDel="00000000" w:rsidR="00000000" w:rsidRPr="00000000">
        <w:rPr>
          <w:rFonts w:ascii="Times New Roman" w:cs="Times New Roman" w:eastAsia="Times New Roman" w:hAnsi="Times New Roman"/>
          <w:color w:val="202124"/>
          <w:sz w:val="20"/>
          <w:szCs w:val="20"/>
          <w:highlight w:val="white"/>
          <w:rtl w:val="0"/>
        </w:rPr>
        <w:t xml:space="preserve">, 2018, revista dos tribunais, São Paulo.</w:t>
      </w:r>
    </w:p>
    <w:p w:rsidR="00000000" w:rsidDel="00000000" w:rsidP="00000000" w:rsidRDefault="00000000" w:rsidRPr="00000000" w14:paraId="00000110">
      <w:pPr>
        <w:spacing w:after="240" w:before="240" w:line="360" w:lineRule="auto"/>
        <w:jc w:val="both"/>
        <w:rPr>
          <w:rFonts w:ascii="Times New Roman" w:cs="Times New Roman" w:eastAsia="Times New Roman" w:hAnsi="Times New Roman"/>
          <w:color w:val="202124"/>
          <w:sz w:val="20"/>
          <w:szCs w:val="20"/>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COMPARATO, Fábio Konder. O poder de controle na sociedade anônima, p. 362</w:t>
      </w:r>
      <w:r w:rsidDel="00000000" w:rsidR="00000000" w:rsidRPr="00000000">
        <w:rPr>
          <w:rFonts w:ascii="Times New Roman" w:cs="Times New Roman" w:eastAsia="Times New Roman" w:hAnsi="Times New Roman"/>
          <w:color w:val="202124"/>
          <w:sz w:val="20"/>
          <w:szCs w:val="20"/>
          <w:highlight w:val="white"/>
          <w:rtl w:val="0"/>
        </w:rPr>
        <w:t xml:space="preserve">, 2008 editora FORENSE, Rio de Janeiro</w:t>
      </w:r>
    </w:p>
    <w:p w:rsidR="00000000" w:rsidDel="00000000" w:rsidP="00000000" w:rsidRDefault="00000000" w:rsidRPr="00000000" w14:paraId="00000111">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DALBELLO, Hans Robert. Manual de Direito Penal – Parte Geral, 2019.</w:t>
      </w:r>
    </w:p>
    <w:p w:rsidR="00000000" w:rsidDel="00000000" w:rsidP="00000000" w:rsidRDefault="00000000" w:rsidRPr="00000000" w14:paraId="00000112">
      <w:pPr>
        <w:spacing w:after="240" w:before="240" w:line="360" w:lineRule="auto"/>
        <w:jc w:val="both"/>
        <w:rPr>
          <w:rFonts w:ascii="Times New Roman" w:cs="Times New Roman" w:eastAsia="Times New Roman" w:hAnsi="Times New Roman"/>
          <w:color w:val="202124"/>
          <w:sz w:val="24"/>
          <w:szCs w:val="24"/>
          <w:highlight w:val="white"/>
        </w:rPr>
      </w:pPr>
      <w:hyperlink r:id="rId59">
        <w:r w:rsidDel="00000000" w:rsidR="00000000" w:rsidRPr="00000000">
          <w:rPr>
            <w:rFonts w:ascii="Times New Roman" w:cs="Times New Roman" w:eastAsia="Times New Roman" w:hAnsi="Times New Roman"/>
            <w:color w:val="202124"/>
            <w:sz w:val="24"/>
            <w:szCs w:val="24"/>
            <w:highlight w:val="white"/>
            <w:rtl w:val="0"/>
          </w:rPr>
          <w:t xml:space="preserve">https://www.jusbrasil.com.br/jurisprudencia/tj-sp/1206207392</w:t>
        </w:r>
      </w:hyperlink>
      <w:r w:rsidDel="00000000" w:rsidR="00000000" w:rsidRPr="00000000">
        <w:rPr>
          <w:rtl w:val="0"/>
        </w:rPr>
      </w:r>
    </w:p>
    <w:p w:rsidR="00000000" w:rsidDel="00000000" w:rsidP="00000000" w:rsidRDefault="00000000" w:rsidRPr="00000000" w14:paraId="00000113">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FILHO, Marino P. Lei de Inelegibilidade Comentada: Legislação e Jurisprudência Atualizadas, Leis da Ficha Limpa e da Minirreforma Eleitoral . [Digite o Local da Editora]: Grupo GEN, 2014. E-book. ISBN 9788522489923. Disponível em: https://integrada.minhabiblioteca.com.br/#/books/9788522489923/. Acesso em: 11 out. 2022.</w:t>
      </w:r>
    </w:p>
    <w:p w:rsidR="00000000" w:rsidDel="00000000" w:rsidP="00000000" w:rsidRDefault="00000000" w:rsidRPr="00000000" w14:paraId="00000114">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GONÇALVES, Victor Eduardo, LENZA, Pedro.</w:t>
      </w:r>
      <w:hyperlink r:id="rId60">
        <w:r w:rsidDel="00000000" w:rsidR="00000000" w:rsidRPr="00000000">
          <w:rPr>
            <w:rFonts w:ascii="Times New Roman" w:cs="Times New Roman" w:eastAsia="Times New Roman" w:hAnsi="Times New Roman"/>
            <w:color w:val="202124"/>
            <w:sz w:val="24"/>
            <w:szCs w:val="24"/>
            <w:highlight w:val="white"/>
            <w:rtl w:val="0"/>
          </w:rPr>
          <w:t xml:space="preserve"> Direito Penal Esquematizado - Parte Especial - 12ª edição, 2022</w:t>
        </w:r>
      </w:hyperlink>
      <w:r w:rsidDel="00000000" w:rsidR="00000000" w:rsidRPr="00000000">
        <w:rPr>
          <w:rFonts w:ascii="Times New Roman" w:cs="Times New Roman" w:eastAsia="Times New Roman" w:hAnsi="Times New Roman"/>
          <w:color w:val="202124"/>
          <w:sz w:val="24"/>
          <w:szCs w:val="24"/>
          <w:highlight w:val="white"/>
          <w:rtl w:val="0"/>
        </w:rPr>
        <w:t xml:space="preserve">.</w:t>
      </w:r>
    </w:p>
    <w:p w:rsidR="00000000" w:rsidDel="00000000" w:rsidP="00000000" w:rsidRDefault="00000000" w:rsidRPr="00000000" w14:paraId="00000115">
      <w:pPr>
        <w:pBdr>
          <w:top w:space="0" w:sz="0" w:val="nil"/>
          <w:left w:space="0" w:sz="0" w:val="nil"/>
          <w:bottom w:space="0" w:sz="0" w:val="nil"/>
          <w:right w:space="0" w:sz="0" w:val="nil"/>
          <w:between w:space="0" w:sz="0" w:val="nil"/>
        </w:pBd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NEVES, Daniel Amorim Assumpção. Manual de Direito Processual Civil. Volume único. 5ª ed. São Paulo: Método, 2013, págs. 436 e 437.</w:t>
      </w:r>
    </w:p>
    <w:p w:rsidR="00000000" w:rsidDel="00000000" w:rsidP="00000000" w:rsidRDefault="00000000" w:rsidRPr="00000000" w14:paraId="00000116">
      <w:pPr>
        <w:pBdr>
          <w:top w:space="0" w:sz="0" w:val="nil"/>
          <w:left w:space="0" w:sz="0" w:val="nil"/>
          <w:bottom w:space="0" w:sz="0" w:val="nil"/>
          <w:right w:space="0" w:sz="0" w:val="nil"/>
          <w:between w:space="0" w:sz="0" w:val="nil"/>
        </w:pBdr>
        <w:spacing w:after="240" w:before="240" w:line="360" w:lineRule="auto"/>
        <w:jc w:val="both"/>
        <w:rPr>
          <w:rFonts w:ascii="Times New Roman" w:cs="Times New Roman" w:eastAsia="Times New Roman" w:hAnsi="Times New Roman"/>
          <w:color w:val="202124"/>
          <w:sz w:val="24"/>
          <w:szCs w:val="24"/>
          <w:highlight w:val="white"/>
        </w:rPr>
      </w:pPr>
      <w:hyperlink r:id="rId61">
        <w:r w:rsidDel="00000000" w:rsidR="00000000" w:rsidRPr="00000000">
          <w:rPr>
            <w:rFonts w:ascii="Times New Roman" w:cs="Times New Roman" w:eastAsia="Times New Roman" w:hAnsi="Times New Roman"/>
            <w:color w:val="202124"/>
            <w:sz w:val="24"/>
            <w:szCs w:val="24"/>
            <w:highlight w:val="white"/>
            <w:rtl w:val="0"/>
          </w:rPr>
          <w:t xml:space="preserve">TJ-MG - Apelação Cível AC XXXXX00735926001 MG (TJ-MG)</w:t>
        </w:r>
      </w:hyperlink>
      <w:r w:rsidDel="00000000" w:rsidR="00000000" w:rsidRPr="00000000">
        <w:rPr>
          <w:rFonts w:ascii="Times New Roman" w:cs="Times New Roman" w:eastAsia="Times New Roman" w:hAnsi="Times New Roman"/>
          <w:color w:val="202124"/>
          <w:sz w:val="24"/>
          <w:szCs w:val="24"/>
          <w:highlight w:val="white"/>
          <w:rtl w:val="0"/>
        </w:rPr>
        <w:t xml:space="preserve"> https://www.jusbrasil.com.br/jurisprudencia/tj-mg/932677740</w:t>
      </w:r>
    </w:p>
    <w:p w:rsidR="00000000" w:rsidDel="00000000" w:rsidP="00000000" w:rsidRDefault="00000000" w:rsidRPr="00000000" w14:paraId="00000117">
      <w:pPr>
        <w:pBdr>
          <w:top w:space="0" w:sz="0" w:val="nil"/>
          <w:left w:space="0" w:sz="0" w:val="nil"/>
          <w:bottom w:space="0" w:sz="0" w:val="nil"/>
          <w:right w:space="0" w:sz="0" w:val="nil"/>
          <w:between w:space="0" w:sz="0" w:val="nil"/>
        </w:pBd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Tribunal de Justiça de Minas Gerais TJ-MG - Agravo de Instrumento-Cv: AI XXXXX-32.2021.8.13.0000 MG - Inteiro Teor</w:t>
      </w:r>
    </w:p>
    <w:p w:rsidR="00000000" w:rsidDel="00000000" w:rsidP="00000000" w:rsidRDefault="00000000" w:rsidRPr="00000000" w14:paraId="00000118">
      <w:pPr>
        <w:pBdr>
          <w:top w:space="0" w:sz="0" w:val="nil"/>
          <w:left w:space="0" w:sz="0" w:val="nil"/>
          <w:bottom w:space="0" w:sz="0" w:val="nil"/>
          <w:right w:space="0" w:sz="0" w:val="nil"/>
          <w:between w:space="0" w:sz="0" w:val="nil"/>
        </w:pBd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https://www.jusbrasil.com.br/jurisprudencia/tj-mg/1236158988/inteiro-teor-1236159076</w:t>
      </w:r>
    </w:p>
    <w:p w:rsidR="00000000" w:rsidDel="00000000" w:rsidP="00000000" w:rsidRDefault="00000000" w:rsidRPr="00000000" w14:paraId="00000119">
      <w:pPr>
        <w:pBdr>
          <w:top w:space="0" w:sz="0" w:val="nil"/>
          <w:left w:space="0" w:sz="0" w:val="nil"/>
          <w:bottom w:space="0" w:sz="0" w:val="nil"/>
          <w:right w:space="0" w:sz="0" w:val="nil"/>
          <w:between w:space="0" w:sz="0" w:val="nil"/>
        </w:pBdr>
        <w:spacing w:after="240" w:before="240" w:line="360" w:lineRule="auto"/>
        <w:jc w:val="both"/>
        <w:rPr>
          <w:rFonts w:ascii="Times New Roman" w:cs="Times New Roman" w:eastAsia="Times New Roman" w:hAnsi="Times New Roman"/>
          <w:color w:val="202124"/>
          <w:sz w:val="24"/>
          <w:szCs w:val="24"/>
          <w:highlight w:val="white"/>
        </w:rPr>
      </w:pPr>
      <w:hyperlink r:id="rId62">
        <w:r w:rsidDel="00000000" w:rsidR="00000000" w:rsidRPr="00000000">
          <w:rPr>
            <w:rFonts w:ascii="Times New Roman" w:cs="Times New Roman" w:eastAsia="Times New Roman" w:hAnsi="Times New Roman"/>
            <w:color w:val="202124"/>
            <w:sz w:val="24"/>
            <w:szCs w:val="24"/>
            <w:highlight w:val="white"/>
            <w:rtl w:val="0"/>
          </w:rPr>
          <w:t xml:space="preserve">Tribunal de Justiça do Distrito Federal e Territórios TJ-DF: XXXXX-82.2022.8.07.0000 1623874</w:t>
        </w:r>
      </w:hyperlink>
      <w:r w:rsidDel="00000000" w:rsidR="00000000" w:rsidRPr="00000000">
        <w:rPr>
          <w:rtl w:val="0"/>
        </w:rPr>
      </w:r>
    </w:p>
    <w:p w:rsidR="00000000" w:rsidDel="00000000" w:rsidP="00000000" w:rsidRDefault="00000000" w:rsidRPr="00000000" w14:paraId="0000011A">
      <w:pPr>
        <w:spacing w:after="240" w:before="240" w:line="360" w:lineRule="auto"/>
        <w:jc w:val="both"/>
        <w:rPr>
          <w:rFonts w:ascii="Times New Roman" w:cs="Times New Roman" w:eastAsia="Times New Roman" w:hAnsi="Times New Roman"/>
          <w:color w:val="202124"/>
          <w:sz w:val="24"/>
          <w:szCs w:val="24"/>
          <w:highlight w:val="white"/>
        </w:rPr>
      </w:pPr>
      <w:hyperlink r:id="rId63">
        <w:r w:rsidDel="00000000" w:rsidR="00000000" w:rsidRPr="00000000">
          <w:rPr>
            <w:rFonts w:ascii="Times New Roman" w:cs="Times New Roman" w:eastAsia="Times New Roman" w:hAnsi="Times New Roman"/>
            <w:color w:val="202124"/>
            <w:sz w:val="24"/>
            <w:szCs w:val="24"/>
            <w:highlight w:val="white"/>
            <w:rtl w:val="0"/>
          </w:rPr>
          <w:t xml:space="preserve">https://www.jusbrasil.com.br/jurisprudencia/tj-df/1677866573/inteiro-teor-1677866594</w:t>
        </w:r>
      </w:hyperlink>
      <w:r w:rsidDel="00000000" w:rsidR="00000000" w:rsidRPr="00000000">
        <w:rPr>
          <w:rtl w:val="0"/>
        </w:rPr>
      </w:r>
    </w:p>
    <w:p w:rsidR="00000000" w:rsidDel="00000000" w:rsidP="00000000" w:rsidRDefault="00000000" w:rsidRPr="00000000" w14:paraId="0000011B">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Tribunal Regional do Trabalho da 2ª Região TRT-2: XXXXX-39.2020.5.02.0027 SP</w:t>
      </w:r>
    </w:p>
    <w:p w:rsidR="00000000" w:rsidDel="00000000" w:rsidP="00000000" w:rsidRDefault="00000000" w:rsidRPr="00000000" w14:paraId="0000011C">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https://www.jusbrasil.com.br/jurisprudencia/trt-2/1118724045</w:t>
      </w:r>
    </w:p>
    <w:p w:rsidR="00000000" w:rsidDel="00000000" w:rsidP="00000000" w:rsidRDefault="00000000" w:rsidRPr="00000000" w14:paraId="0000011D">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Tribunal Superior Eleitoral TSE- Agravo Regimental em Recurso Especial Eleitoral: AgR-RespeXXXXX-80.2013.618.0000 PI</w:t>
      </w:r>
    </w:p>
    <w:p w:rsidR="00000000" w:rsidDel="00000000" w:rsidP="00000000" w:rsidRDefault="00000000" w:rsidRPr="00000000" w14:paraId="0000011E">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http://www.planalto.gov.br/ccivil_03/_ato2015-2018/2015/lei/l13105.htm</w:t>
      </w:r>
    </w:p>
    <w:p w:rsidR="00000000" w:rsidDel="00000000" w:rsidP="00000000" w:rsidRDefault="00000000" w:rsidRPr="00000000" w14:paraId="0000011F">
      <w:pPr>
        <w:spacing w:after="240" w:before="240"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Superior Tribunal de Justiça STJ - AGRAVO INTERNO NO AGRAVO EM RECURSO ESPECIAL: AgInt no AREsp XXXXX SP XXXX/XXXXX-1</w:t>
      </w:r>
    </w:p>
    <w:p w:rsidR="00000000" w:rsidDel="00000000" w:rsidP="00000000" w:rsidRDefault="00000000" w:rsidRPr="00000000" w14:paraId="00000120">
      <w:pPr>
        <w:spacing w:after="240" w:before="240" w:line="360" w:lineRule="auto"/>
        <w:jc w:val="both"/>
        <w:rPr>
          <w:rFonts w:ascii="Arial" w:cs="Arial" w:eastAsia="Arial" w:hAnsi="Arial"/>
          <w:b w:val="1"/>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https://www.jusbrasil.com.br/jurisprudencia/stj/549837644</w:t>
      </w: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Cyro Gilberto Sanseverino - Coordenador Direito" w:id="5" w:date="2022-11-16T17:06:35Z">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o parecer em penal. Gostei muito. 2,0</w:t>
      </w:r>
    </w:p>
  </w:comment>
  <w:comment w:author="Rosana Ribeiro da Silva" w:id="6" w:date="2022-11-11T21:32:08Z">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faltou a conclusão que é elemento essencial a um parecer jurídico</w:t>
      </w:r>
    </w:p>
  </w:comment>
  <w:comment w:author="Cyro Gilberto Sanseverino - Coordenador Direito" w:id="4" w:date="2022-11-16T17:05:06Z">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absoluta certeza é redundância. Se é certeza, é absoluta.</w:t>
      </w:r>
    </w:p>
  </w:comment>
  <w:comment w:author="Joao Fernando Alves Palomo" w:id="0" w:date="2022-11-14T13:27:55Z">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Trabalho muito bom. Adequada decisão com supedâneo em doutrina e jurisprudências que, quando boas, não precisam ser excessivas. Parabéns - 2.0</w:t>
      </w:r>
    </w:p>
  </w:comment>
  <w:comment w:author="Luiz Francisco A. Soeiro de Faria" w:id="3" w:date="2022-11-16T12:44:07Z">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Concordância?!</w:t>
      </w:r>
    </w:p>
  </w:comment>
  <w:comment w:author="Rosana Ribeiro da Silva" w:id="7" w:date="2022-11-11T21:32:18Z">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é assim que deve ser feito</w:t>
      </w:r>
    </w:p>
  </w:comment>
  <w:comment w:author="Luiz Francisco A. Soeiro de Faria" w:id="2" w:date="2022-11-16T12:44:58Z">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 e a ortografia.</w:t>
      </w:r>
    </w:p>
  </w:comment>
  <w:comment w:author="Rosana Ribeiro da Silva" w:id="1" w:date="2022-11-11T21:32:32Z">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conclusão confusa e não entendi se pode ou não ser feita por videoconferência e que a parte pode solicitar.</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civil 1</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2D" w15:done="0"/>
  <w15:commentEx w15:paraId="0000012E" w15:done="0"/>
  <w15:commentEx w15:paraId="0000012F" w15:done="0"/>
  <w15:commentEx w15:paraId="00000130" w15:done="0"/>
  <w15:commentEx w15:paraId="00000131" w15:done="0"/>
  <w15:commentEx w15:paraId="00000132" w15:done="0"/>
  <w15:commentEx w15:paraId="00000133" w15:done="0"/>
  <w15:commentEx w15:paraId="00000136"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7">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8">
    <w:pP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9">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2A">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2B">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2C">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1">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2">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3">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24">
          <w:pPr>
            <w:tabs>
              <w:tab w:val="center" w:pos="4252"/>
              <w:tab w:val="right" w:pos="8504"/>
            </w:tabs>
            <w:rPr/>
          </w:pPr>
          <w:r w:rsidDel="00000000" w:rsidR="00000000" w:rsidRPr="00000000">
            <w:rPr/>
            <w:drawing>
              <wp:inline distB="114300" distT="114300" distL="114300" distR="114300">
                <wp:extent cx="966788" cy="287734"/>
                <wp:effectExtent b="0" l="0" r="0" t="0"/>
                <wp:docPr id="36"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25">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26">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6"/>
    <w:pPr>
      <w:spacing w:after="0" w:line="240" w:lineRule="auto"/>
    </w:pPr>
    <w:tblPr>
      <w:tblStyleRowBandSize w:val="1"/>
      <w:tblStyleColBandSize w:val="1"/>
      <w:tblCellMar>
        <w:left w:w="108.0" w:type="dxa"/>
        <w:right w:w="108.0" w:type="dxa"/>
      </w:tblCellMar>
    </w:tblPr>
  </w:style>
  <w:style w:type="table" w:styleId="a0" w:customStyle="1">
    <w:basedOn w:val="TableNormal6"/>
    <w:pPr>
      <w:spacing w:after="0" w:line="240" w:lineRule="auto"/>
    </w:pPr>
    <w:tblPr>
      <w:tblStyleRowBandSize w:val="1"/>
      <w:tblStyleColBandSize w:val="1"/>
      <w:tblCellMar>
        <w:left w:w="108.0" w:type="dxa"/>
        <w:right w:w="108.0" w:type="dxa"/>
      </w:tblCellMar>
    </w:tblPr>
  </w:style>
  <w:style w:type="table" w:styleId="a1" w:customStyle="1">
    <w:basedOn w:val="TableNormal6"/>
    <w:pPr>
      <w:spacing w:after="0" w:line="240" w:lineRule="auto"/>
    </w:pPr>
    <w:tblPr>
      <w:tblStyleRowBandSize w:val="1"/>
      <w:tblStyleColBandSize w:val="1"/>
      <w:tblCellMar>
        <w:left w:w="108.0" w:type="dxa"/>
        <w:right w:w="108.0" w:type="dxa"/>
      </w:tblCellMar>
    </w:tblPr>
  </w:style>
  <w:style w:type="table" w:styleId="a2" w:customStyle="1">
    <w:basedOn w:val="TableNormal6"/>
    <w:pPr>
      <w:spacing w:after="0" w:line="240" w:lineRule="auto"/>
    </w:pPr>
    <w:tblPr>
      <w:tblStyleRowBandSize w:val="1"/>
      <w:tblStyleColBandSize w:val="1"/>
      <w:tblCellMar>
        <w:left w:w="108.0" w:type="dxa"/>
        <w:right w:w="108.0" w:type="dxa"/>
      </w:tblCellMar>
    </w:tblPr>
  </w:style>
  <w:style w:type="table" w:styleId="a3" w:customStyle="1">
    <w:basedOn w:val="TableNormal6"/>
    <w:pPr>
      <w:spacing w:after="0" w:line="240" w:lineRule="auto"/>
    </w:pPr>
    <w:tblPr>
      <w:tblStyleRowBandSize w:val="1"/>
      <w:tblStyleColBandSize w:val="1"/>
      <w:tblCellMar>
        <w:left w:w="108.0" w:type="dxa"/>
        <w:right w:w="108.0" w:type="dxa"/>
      </w:tblCellMar>
    </w:tblPr>
  </w:style>
  <w:style w:type="table" w:styleId="a4" w:customStyle="1">
    <w:basedOn w:val="TableNormal6"/>
    <w:pPr>
      <w:spacing w:after="0" w:line="240" w:lineRule="auto"/>
    </w:pPr>
    <w:tblPr>
      <w:tblStyleRowBandSize w:val="1"/>
      <w:tblStyleColBandSize w:val="1"/>
      <w:tblCellMar>
        <w:left w:w="108.0" w:type="dxa"/>
        <w:right w:w="108.0" w:type="dxa"/>
      </w:tblCellMar>
    </w:tblPr>
  </w:style>
  <w:style w:type="table" w:styleId="a5" w:customStyle="1">
    <w:basedOn w:val="TableNormal6"/>
    <w:pPr>
      <w:spacing w:after="0" w:line="240" w:lineRule="auto"/>
    </w:pPr>
    <w:tblPr>
      <w:tblStyleRowBandSize w:val="1"/>
      <w:tblStyleColBandSize w:val="1"/>
      <w:tblCellMar>
        <w:left w:w="108.0" w:type="dxa"/>
        <w:right w:w="108.0" w:type="dxa"/>
      </w:tblCellMar>
    </w:tblPr>
  </w:style>
  <w:style w:type="table" w:styleId="a6" w:customStyle="1">
    <w:basedOn w:val="TableNormal6"/>
    <w:pPr>
      <w:spacing w:after="0" w:line="240" w:lineRule="auto"/>
    </w:pPr>
    <w:tblPr>
      <w:tblStyleRowBandSize w:val="1"/>
      <w:tblStyleColBandSize w:val="1"/>
      <w:tblCellMar>
        <w:left w:w="108.0" w:type="dxa"/>
        <w:right w:w="108.0" w:type="dxa"/>
      </w:tblCellMar>
    </w:tblPr>
  </w:style>
  <w:style w:type="table" w:styleId="a7"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6"/>
    <w:pPr>
      <w:spacing w:after="0" w:line="240" w:lineRule="auto"/>
    </w:pPr>
    <w:tblPr>
      <w:tblStyleRowBandSize w:val="1"/>
      <w:tblStyleColBandSize w:val="1"/>
      <w:tblCellMar>
        <w:left w:w="108.0" w:type="dxa"/>
        <w:right w:w="108.0" w:type="dxa"/>
      </w:tblCellMar>
    </w:tblPr>
  </w:style>
  <w:style w:type="table" w:styleId="a9" w:customStyle="1">
    <w:basedOn w:val="TableNormal6"/>
    <w:pPr>
      <w:spacing w:after="0" w:line="240" w:lineRule="auto"/>
    </w:pPr>
    <w:tblPr>
      <w:tblStyleRowBandSize w:val="1"/>
      <w:tblStyleColBandSize w:val="1"/>
      <w:tblCellMar>
        <w:left w:w="108.0" w:type="dxa"/>
        <w:right w:w="108.0" w:type="dxa"/>
      </w:tblCellMar>
    </w:tblPr>
  </w:style>
  <w:style w:type="table" w:styleId="aa"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basedOn w:val="Fontepargpadro"/>
    <w:link w:val="Textodecomentrio"/>
    <w:uiPriority w:val="99"/>
    <w:semiHidden w:val="1"/>
    <w:rPr>
      <w:sz w:val="20"/>
      <w:szCs w:val="20"/>
    </w:rPr>
  </w:style>
  <w:style w:type="character" w:styleId="Refdecomentrio">
    <w:name w:val="annotation reference"/>
    <w:basedOn w:val="Fontepargpadro"/>
    <w:uiPriority w:val="99"/>
    <w:semiHidden w:val="1"/>
    <w:unhideWhenUsed w:val="1"/>
    <w:rPr>
      <w:sz w:val="16"/>
      <w:szCs w:val="16"/>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jusbrasil.com.br/legislacao/759519396/lei-13874-19" TargetMode="External"/><Relationship Id="rId42" Type="http://schemas.openxmlformats.org/officeDocument/2006/relationships/hyperlink" Target="https://www.jusbrasil.com.br/topicos/225034105/par%C3%A1grafo-2-artigo-50-da-lei-n-10406-de-10-de-janeiro-de-2002" TargetMode="External"/><Relationship Id="rId41" Type="http://schemas.openxmlformats.org/officeDocument/2006/relationships/hyperlink" Target="https://www.jusbrasil.com.br/topicos/10727101/artigo-50-da-lei-n-10406-de-10-de-janeiro-de-2002" TargetMode="External"/><Relationship Id="rId44" Type="http://schemas.openxmlformats.org/officeDocument/2006/relationships/hyperlink" Target="https://www.jusbrasil.com.br/legislacao/1035419/c%C3%B3digo-civil-lei-10406-02" TargetMode="External"/><Relationship Id="rId43" Type="http://schemas.openxmlformats.org/officeDocument/2006/relationships/hyperlink" Target="https://www.jusbrasil.com.br/topicos/225034103/inciso-i-do-par%C3%A1grafo-2-do-artigo-50-da-lei-n-10406-de-10-de-janeiro-de-2002" TargetMode="External"/><Relationship Id="rId46" Type="http://schemas.openxmlformats.org/officeDocument/2006/relationships/hyperlink" Target="https://www.jusbrasil.com.br/topicos/28886773/artigo-1042-da-lei-n-13105-de-16-de-marco-de-2015" TargetMode="External"/><Relationship Id="rId45" Type="http://schemas.openxmlformats.org/officeDocument/2006/relationships/hyperlink" Target="https://www.jusbrasil.com.br/jurisprudencia/busca?q=recurso+conhecido+e+provido"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48" Type="http://schemas.openxmlformats.org/officeDocument/2006/relationships/hyperlink" Target="https://www.jusbrasil.com.br/jurisprudencia/busca?q=execu%C3%A7%C3%A3o" TargetMode="External"/><Relationship Id="rId47" Type="http://schemas.openxmlformats.org/officeDocument/2006/relationships/hyperlink" Target="https://www.jusbrasil.com.br/legislacao/174788361/lei-13105-15" TargetMode="External"/><Relationship Id="rId49" Type="http://schemas.openxmlformats.org/officeDocument/2006/relationships/hyperlink" Target="https://www.jusbrasil.com.br/jurisprudencia/busca?q=desconsidera%C3%A7%C3%A3o+da+personalidade+jur%C3%ADdica"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www.jusbrasil.com.br/jurisprudencia/busca?q=obriga%C3%A7%C3%A3o" TargetMode="External"/><Relationship Id="rId30" Type="http://schemas.openxmlformats.org/officeDocument/2006/relationships/hyperlink" Target="https://www.jusbrasil.com.br/jurisprudencia/busca?q=cumprimento+repetitivo" TargetMode="External"/><Relationship Id="rId33" Type="http://schemas.openxmlformats.org/officeDocument/2006/relationships/hyperlink" Target="https://www.jusbrasil.com.br/jurisprudencia/busca?q=prova+ausente" TargetMode="External"/><Relationship Id="rId32" Type="http://schemas.openxmlformats.org/officeDocument/2006/relationships/hyperlink" Target="https://www.jusbrasil.com.br/jurisprudencia/busca?q=s%C3%B3cio" TargetMode="External"/><Relationship Id="rId35" Type="http://schemas.openxmlformats.org/officeDocument/2006/relationships/hyperlink" Target="https://www.jusbrasil.com.br/topicos/10727101/artigo-50-da-lei-n-10406-de-10-de-janeiro-de-2002" TargetMode="External"/><Relationship Id="rId34" Type="http://schemas.openxmlformats.org/officeDocument/2006/relationships/hyperlink" Target="https://www.jusbrasil.com.br/legislacao/1035419/c%C3%B3digo-civil-lei-10406-02" TargetMode="External"/><Relationship Id="rId37" Type="http://schemas.openxmlformats.org/officeDocument/2006/relationships/hyperlink" Target="https://www.jusbrasil.com.br/topicos/225034103/inciso-i-do-par%C3%A1grafo-2-do-artigo-50-da-lei-n-10406-de-10-de-janeiro-de-2002" TargetMode="External"/><Relationship Id="rId36" Type="http://schemas.openxmlformats.org/officeDocument/2006/relationships/hyperlink" Target="https://www.jusbrasil.com.br/topicos/225034105/par%C3%A1grafo-2-artigo-50-da-lei-n-10406-de-10-de-janeiro-de-2002" TargetMode="External"/><Relationship Id="rId39" Type="http://schemas.openxmlformats.org/officeDocument/2006/relationships/hyperlink" Target="https://www.jusbrasil.com.br/legislacao/1035419/c%C3%B3digo-civil-lei-10406-02" TargetMode="External"/><Relationship Id="rId38" Type="http://schemas.openxmlformats.org/officeDocument/2006/relationships/hyperlink" Target="https://www.jusbrasil.com.br/topicos/10727101/artigo-50-da-lei-n-10406-de-10-de-janeiro-de-2002" TargetMode="External"/><Relationship Id="rId62" Type="http://schemas.openxmlformats.org/officeDocument/2006/relationships/hyperlink" Target="https://www.jusbrasil.com.br/jurisprudencia/tj-df/1677866573" TargetMode="External"/><Relationship Id="rId61" Type="http://schemas.openxmlformats.org/officeDocument/2006/relationships/hyperlink" Target="https://www.jusbrasil.com.br/jurisprudencia/tj-mg/932677740" TargetMode="External"/><Relationship Id="rId20" Type="http://schemas.openxmlformats.org/officeDocument/2006/relationships/hyperlink" Target="https://www.jusbrasil.com.br/legislacao/1114362760/resolucao-314-2020-rio-de-janeiro-rj" TargetMode="External"/><Relationship Id="rId63" Type="http://schemas.openxmlformats.org/officeDocument/2006/relationships/hyperlink" Target="https://www.jusbrasil.com.br/jurisprudencia/tj-df/1677866573/inteiro-teor-1677866594" TargetMode="External"/><Relationship Id="rId22" Type="http://schemas.openxmlformats.org/officeDocument/2006/relationships/hyperlink" Target="https://www.jusbrasil.com.br/jurisprudencia/busca?q=processo+civil" TargetMode="External"/><Relationship Id="rId21" Type="http://schemas.openxmlformats.org/officeDocument/2006/relationships/hyperlink" Target="https://www.jusbrasil.com.br/jurisprudencia/busca?q=civil" TargetMode="External"/><Relationship Id="rId24" Type="http://schemas.openxmlformats.org/officeDocument/2006/relationships/hyperlink" Target="https://www.jusbrasil.com.br/jurisprudencia/busca?q=desconsidera%C3%A7%C3%A3o+personalidade" TargetMode="External"/><Relationship Id="rId23" Type="http://schemas.openxmlformats.org/officeDocument/2006/relationships/hyperlink" Target="https://www.jusbrasil.com.br/jurisprudencia/busca?q=desconsidera%C3%A7%C3%A3o+personalidade" TargetMode="External"/><Relationship Id="rId60" Type="http://schemas.openxmlformats.org/officeDocument/2006/relationships/hyperlink" Target="https://www.literaturajuridica.com/livros-de-direito/direito-penal-esquematizado-parte-especial-12a-edicao-2022/" TargetMode="External"/><Relationship Id="rId26" Type="http://schemas.openxmlformats.org/officeDocument/2006/relationships/hyperlink" Target="https://www.jusbrasil.com.br/jurisprudencia/busca?q=teoria+maior" TargetMode="External"/><Relationship Id="rId25" Type="http://schemas.openxmlformats.org/officeDocument/2006/relationships/hyperlink" Target="https://www.jusbrasil.com.br/jurisprudencia/busca?q=jur%C3%ADdica" TargetMode="External"/><Relationship Id="rId28" Type="http://schemas.openxmlformats.org/officeDocument/2006/relationships/hyperlink" Target="https://www.jusbrasil.com.br/jurisprudencia/busca?q=jur%C3%ADdica" TargetMode="External"/><Relationship Id="rId27" Type="http://schemas.openxmlformats.org/officeDocument/2006/relationships/hyperlink" Target="https://www.jusbrasil.com.br/jurisprudencia/busca?q=personalidade" TargetMode="External"/><Relationship Id="rId29" Type="http://schemas.openxmlformats.org/officeDocument/2006/relationships/hyperlink" Target="https://www.jusbrasil.com.br/jurisprudencia/busca?q=confus%C3%A3o+patrimonial" TargetMode="External"/><Relationship Id="rId51" Type="http://schemas.openxmlformats.org/officeDocument/2006/relationships/hyperlink" Target="https://www.jusbrasil.com.br/jurisprudencia/busca?q=insurg%C3%AAncia+do+exequente" TargetMode="External"/><Relationship Id="rId50" Type="http://schemas.openxmlformats.org/officeDocument/2006/relationships/hyperlink" Target="https://www.jusbrasil.com.br/jurisprudencia/busca?q=desconsidera%C3%A7%C3%A3o+da+personalidade+jur%C3%ADdica" TargetMode="External"/><Relationship Id="rId53" Type="http://schemas.openxmlformats.org/officeDocument/2006/relationships/hyperlink" Target="https://www.jusbrasil.com.br/legislacao/1028078/c%C3%B3digo-civil-lei-10406-02" TargetMode="External"/><Relationship Id="rId52" Type="http://schemas.openxmlformats.org/officeDocument/2006/relationships/hyperlink" Target="https://www.jusbrasil.com.br/topicos/10727101/artigo-50-da-lei-n-10406-de-10-de-janeiro-de-2002" TargetMode="External"/><Relationship Id="rId11" Type="http://schemas.openxmlformats.org/officeDocument/2006/relationships/header" Target="header1.xml"/><Relationship Id="rId55" Type="http://schemas.openxmlformats.org/officeDocument/2006/relationships/hyperlink" Target="https://www.jusbrasil.com.br/jurisprudencia/stj/589767" TargetMode="External"/><Relationship Id="rId10" Type="http://schemas.openxmlformats.org/officeDocument/2006/relationships/header" Target="header2.xml"/><Relationship Id="rId54" Type="http://schemas.openxmlformats.org/officeDocument/2006/relationships/hyperlink" Target="https://www.jusbrasil.com.br/topicos/10727101/artigo-50-da-lei-n-10406-de-10-de-janeiro-de-2002" TargetMode="External"/><Relationship Id="rId13" Type="http://schemas.openxmlformats.org/officeDocument/2006/relationships/header" Target="header3.xml"/><Relationship Id="rId57" Type="http://schemas.openxmlformats.org/officeDocument/2006/relationships/hyperlink" Target="https://www.planalto.gov.br/ccivil_03/LEIS/1980-1988/L7209.htm#art21" TargetMode="External"/><Relationship Id="rId12" Type="http://schemas.openxmlformats.org/officeDocument/2006/relationships/footer" Target="footer1.xml"/><Relationship Id="rId56" Type="http://schemas.openxmlformats.org/officeDocument/2006/relationships/hyperlink" Target="https://www.jusbrasil.com.br/jurisprudencia/busca?q=agravo+interno+desprovido" TargetMode="External"/><Relationship Id="rId15" Type="http://schemas.openxmlformats.org/officeDocument/2006/relationships/footer" Target="footer2.xml"/><Relationship Id="rId59" Type="http://schemas.openxmlformats.org/officeDocument/2006/relationships/hyperlink" Target="https://www.jusbrasil.com.br/jurisprudencia/tj-sp/1206207392" TargetMode="External"/><Relationship Id="rId14" Type="http://schemas.openxmlformats.org/officeDocument/2006/relationships/footer" Target="footer3.xml"/><Relationship Id="rId58" Type="http://schemas.openxmlformats.org/officeDocument/2006/relationships/hyperlink" Target="https://www.planalto.gov.br/ccivil_03/LEIS/1980-1988/L7209.htm#art21" TargetMode="External"/><Relationship Id="rId17" Type="http://schemas.openxmlformats.org/officeDocument/2006/relationships/hyperlink" Target="https://www.jusbrasil.com.br/jurisprudencia/busca?q=impossibilidade+de+comparecimento+da+parte" TargetMode="External"/><Relationship Id="rId16" Type="http://schemas.openxmlformats.org/officeDocument/2006/relationships/hyperlink" Target="https://www.jusbrasil.com.br/jurisprudencia/busca?q=realiza%C3%A7%C3%A3o+de+audi%C3%AAncia+por+meio+telepresencial" TargetMode="External"/><Relationship Id="rId19" Type="http://schemas.openxmlformats.org/officeDocument/2006/relationships/hyperlink" Target="https://www.jusbrasil.com.br/jurisprudencia/busca?q=adiamento+do+ato" TargetMode="External"/><Relationship Id="rId18" Type="http://schemas.openxmlformats.org/officeDocument/2006/relationships/hyperlink" Target="https://www.jusbrasil.com.br/jurisprudencia/busca?q=incapacidade+t%C3%A9cnica"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BKwUvyHsVGwWi1S3sLV3bV8fMOA==">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2022-11-11T20:39:00Z</dcterms:created>
  <dc:creator>Rosana Silva</dc:creator>
</cp:coreProperties>
</file>