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sz w:val="28"/>
          <w:szCs w:val="28"/>
        </w:rPr>
      </w:pPr>
      <w:r w:rsidDel="00000000" w:rsidR="00000000" w:rsidRPr="00000000">
        <w:rPr/>
        <w:drawing>
          <wp:inline distB="114300" distT="114300" distL="114300" distR="114300">
            <wp:extent cx="2343150" cy="704850"/>
            <wp:effectExtent b="0" l="0" r="0" t="0"/>
            <wp:docPr id="55"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57"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D">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1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1">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4">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5">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7">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8">
      <w:pPr>
        <w:spacing w:after="0" w:line="360" w:lineRule="auto"/>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4"/>
          <w:szCs w:val="24"/>
          <w:rtl w:val="0"/>
        </w:rPr>
        <w:t xml:space="preserve">6º Módulo — Turma A — Período Matutino</w:t>
      </w:r>
      <w:r w:rsidDel="00000000" w:rsidR="00000000" w:rsidRPr="00000000">
        <w:rPr>
          <w:rtl w:val="0"/>
        </w:rPr>
      </w:r>
    </w:p>
    <w:p w:rsidR="00000000" w:rsidDel="00000000" w:rsidP="00000000" w:rsidRDefault="00000000" w:rsidRPr="00000000" w14:paraId="00000029">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Civil: Prof. William Cardozo Silva</w:t>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Márcia C. Maeno de Campos e Prof. William Cardozo Silva</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Profa. Ms. Juliana Marques Borsari</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4"/>
          <w:szCs w:val="24"/>
        </w:rPr>
      </w:pPr>
      <w:sdt>
        <w:sdtPr>
          <w:tag w:val="goog_rdk_0"/>
        </w:sdtPr>
        <w:sdtContent>
          <w:commentRangeStart w:id="0"/>
        </w:sdtContent>
      </w:sdt>
      <w:r w:rsidDel="00000000" w:rsidR="00000000" w:rsidRPr="00000000">
        <w:rPr>
          <w:rFonts w:ascii="Times New Roman" w:cs="Times New Roman" w:eastAsia="Times New Roman" w:hAnsi="Times New Roman"/>
          <w:sz w:val="24"/>
          <w:szCs w:val="24"/>
          <w:rtl w:val="0"/>
        </w:rPr>
        <w:t xml:space="preserve">Processo Penal: Prof. Ms. Fabrício Silva Nicola</w:t>
      </w:r>
      <w:commentRangeEnd w:id="0"/>
      <w:r w:rsidDel="00000000" w:rsidR="00000000" w:rsidRPr="00000000">
        <w:commentReference w:id="0"/>
      </w:r>
      <w:r w:rsidDel="00000000" w:rsidR="00000000" w:rsidRPr="00000000">
        <w:rPr>
          <w:rtl w:val="0"/>
        </w:rPr>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30">
      <w:pPr>
        <w:spacing w:after="0"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1">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2">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1,75</w:t>
            </w:r>
          </w:p>
        </w:tc>
      </w:tr>
    </w:tbl>
    <w:p w:rsidR="00000000" w:rsidDel="00000000" w:rsidP="00000000" w:rsidRDefault="00000000" w:rsidRPr="00000000" w14:paraId="00000033">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4">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Jaciele Nogueira </w:t>
        <w:tab/>
        <w:tab/>
        <w:t xml:space="preserve">            RA: 20001243</w:t>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Karina Dias Bonaretti </w:t>
        <w:tab/>
        <w:tab/>
        <w:t xml:space="preserve">RA: 20000430</w:t>
      </w:r>
    </w:p>
    <w:p w:rsidR="00000000" w:rsidDel="00000000" w:rsidP="00000000" w:rsidRDefault="00000000" w:rsidRPr="00000000" w14:paraId="00000037">
      <w:pPr>
        <w:spacing w:after="0" w:line="360" w:lineRule="auto"/>
        <w:jc w:val="both"/>
        <w:rPr>
          <w:rFonts w:ascii="Times New Roman" w:cs="Times New Roman" w:eastAsia="Times New Roman" w:hAnsi="Times New Roman"/>
          <w:sz w:val="24"/>
          <w:szCs w:val="24"/>
        </w:rPr>
        <w:sectPr>
          <w:headerReference r:id="rId10" w:type="default"/>
          <w:headerReference r:id="rId11" w:type="first"/>
          <w:footerReference r:id="rId12" w:type="default"/>
          <w:footerReference r:id="rId13" w:type="first"/>
          <w:pgSz w:h="16838" w:w="11906" w:orient="portrait"/>
          <w:pgMar w:bottom="283" w:top="1133" w:left="1440" w:right="1440" w:header="426" w:footer="306"/>
          <w:pgNumType w:start="0"/>
          <w:titlePg w:val="1"/>
        </w:sectPr>
      </w:pPr>
      <w:r w:rsidDel="00000000" w:rsidR="00000000" w:rsidRPr="00000000">
        <w:rPr>
          <w:rFonts w:ascii="Times New Roman" w:cs="Times New Roman" w:eastAsia="Times New Roman" w:hAnsi="Times New Roman"/>
          <w:sz w:val="24"/>
          <w:szCs w:val="24"/>
          <w:rtl w:val="0"/>
        </w:rPr>
        <w:t xml:space="preserve">Olívia de Azevedo Marques </w:t>
        <w:tab/>
        <w:t xml:space="preserve">            RA: 20001706</w:t>
      </w:r>
    </w:p>
    <w:p w:rsidR="00000000" w:rsidDel="00000000" w:rsidP="00000000" w:rsidRDefault="00000000" w:rsidRPr="00000000" w14:paraId="00000038">
      <w:pPr>
        <w:jc w:val="center"/>
        <w:rPr>
          <w:rFonts w:ascii="Verdana" w:cs="Verdana" w:eastAsia="Verdana" w:hAnsi="Verdana"/>
          <w:sz w:val="24"/>
          <w:szCs w:val="24"/>
        </w:rPr>
      </w:pPr>
      <w:r w:rsidDel="00000000" w:rsidR="00000000" w:rsidRPr="00000000">
        <w:rPr/>
        <w:drawing>
          <wp:inline distB="114300" distT="114300" distL="114300" distR="114300">
            <wp:extent cx="2343150" cy="704850"/>
            <wp:effectExtent b="0" l="0" r="0" t="0"/>
            <wp:docPr id="56"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9">
      <w:pPr>
        <w:spacing w:after="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A">
      <w:pPr>
        <w:spacing w:after="0" w:lineRule="auto"/>
        <w:jc w:val="center"/>
        <w:rPr>
          <w:rFonts w:ascii="Verdana" w:cs="Verdana" w:eastAsia="Verdana" w:hAnsi="Verdana"/>
          <w:b w:val="1"/>
        </w:rPr>
      </w:pPr>
      <w:r w:rsidDel="00000000" w:rsidR="00000000" w:rsidRPr="00000000">
        <w:rPr>
          <w:rtl w:val="0"/>
        </w:rPr>
      </w:r>
    </w:p>
    <w:tbl>
      <w:tblPr>
        <w:tblStyle w:val="Table2"/>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B">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C">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D">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E">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3F">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0">
      <w:pPr>
        <w:spacing w:after="0" w:lineRule="auto"/>
        <w:jc w:val="center"/>
        <w:rPr>
          <w:rFonts w:ascii="Verdana" w:cs="Verdana" w:eastAsia="Verdana" w:hAnsi="Verdana"/>
          <w:b w:val="1"/>
        </w:rPr>
      </w:pPr>
      <w:r w:rsidDel="00000000" w:rsidR="00000000" w:rsidRPr="00000000">
        <w:rPr>
          <w:rFonts w:ascii="Verdana" w:cs="Verdana" w:eastAsia="Verdana" w:hAnsi="Verdana"/>
          <w:b w:val="1"/>
          <w:sz w:val="48"/>
          <w:szCs w:val="48"/>
          <w:rtl w:val="0"/>
        </w:rPr>
        <w:t xml:space="preserve">6º Módulo - Direito</w:t>
      </w:r>
      <w:r w:rsidDel="00000000" w:rsidR="00000000" w:rsidRPr="00000000">
        <w:rPr>
          <w:rtl w:val="0"/>
        </w:rPr>
      </w:r>
    </w:p>
    <w:p w:rsidR="00000000" w:rsidDel="00000000" w:rsidP="00000000" w:rsidRDefault="00000000" w:rsidRPr="00000000" w14:paraId="00000041">
      <w:pPr>
        <w:spacing w:after="0" w:lineRule="auto"/>
        <w:jc w:val="center"/>
        <w:rPr>
          <w:rFonts w:ascii="Verdana" w:cs="Verdana" w:eastAsia="Verdana" w:hAnsi="Verdana"/>
          <w:b w:val="1"/>
        </w:rPr>
      </w:pPr>
      <w:r w:rsidDel="00000000" w:rsidR="00000000" w:rsidRPr="00000000">
        <w:rPr>
          <w:rtl w:val="0"/>
        </w:rPr>
      </w:r>
    </w:p>
    <w:tbl>
      <w:tblPr>
        <w:tblStyle w:val="Table3"/>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2">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3">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4">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6">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7">
            <w:pPr>
              <w:numPr>
                <w:ilvl w:val="0"/>
                <w:numId w:val="5"/>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8">
            <w:pPr>
              <w:numPr>
                <w:ilvl w:val="0"/>
                <w:numId w:val="5"/>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9">
            <w:pPr>
              <w:numPr>
                <w:ilvl w:val="0"/>
                <w:numId w:val="5"/>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A">
            <w:pPr>
              <w:numPr>
                <w:ilvl w:val="0"/>
                <w:numId w:val="5"/>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B">
            <w:pPr>
              <w:numPr>
                <w:ilvl w:val="0"/>
                <w:numId w:val="5"/>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C">
            <w:pPr>
              <w:numPr>
                <w:ilvl w:val="0"/>
                <w:numId w:val="5"/>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D">
            <w:pPr>
              <w:numPr>
                <w:ilvl w:val="0"/>
                <w:numId w:val="5"/>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E">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F">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50">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1">
            <w:pPr>
              <w:numPr>
                <w:ilvl w:val="0"/>
                <w:numId w:val="3"/>
              </w:numPr>
              <w:spacing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2">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na pasta do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dedicada à sua entrega.</w:t>
            </w:r>
          </w:p>
          <w:p w:rsidR="00000000" w:rsidDel="00000000" w:rsidP="00000000" w:rsidRDefault="00000000" w:rsidRPr="00000000" w14:paraId="00000053">
            <w:pPr>
              <w:numPr>
                <w:ilvl w:val="0"/>
                <w:numId w:val="3"/>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4">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5">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6">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7">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8">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9">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A">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B">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C">
            <w:pPr>
              <w:numPr>
                <w:ilvl w:val="0"/>
                <w:numId w:val="4"/>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5D">
      <w:pPr>
        <w:spacing w:after="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5E">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5F">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0">
      <w:pPr>
        <w:tabs>
          <w:tab w:val="center" w:pos="4252"/>
          <w:tab w:val="right" w:pos="8504"/>
        </w:tabs>
        <w:spacing w:after="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1">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cidade de Francisco Morato, próxima a grande São Paulo, vivia, em uma pequena casa, Lívia Roberta, seus quatro irmãos, sua mãe e seu tio conhecido por Sérgio ‘Lorota’.</w:t>
      </w:r>
    </w:p>
    <w:p w:rsidR="00000000" w:rsidDel="00000000" w:rsidP="00000000" w:rsidRDefault="00000000" w:rsidRPr="00000000" w14:paraId="0000006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vida de Lívia não foi das mais fáceis, sendo que a família sempre passou “apertado” financeiramente e não raras vezes suportaram a indesejável fome.</w:t>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Lívia, hoje, com vinte e um anos de idade e finalizando o curso de Administração, reside na capital paulista em um apartamento com mais duas colegas de universidade; universidade esta que Lívia conseguiu ingressar por ter sido sempre uma excelente aluna, desde as épocas de ensino fundamental.</w:t>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Lívia não apenas suportou os males da pobreza e da fome, sendo que foi vítima, também, de um dos crimes mais hediondos da humanidade: quando tinha onze anos de idade foi, mais de uma vez, abusada sexualmente por seu tio Sérgio - e estes acontecimentos deixaram-lhe profundos danos emocionais e psicológicos.</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Suportando o silêncio por alguns anos, quando completou seus dezenove anos de idade, Lívia resolveu procurar as autoridades e relatou os abusos que sofreu nas mãos de seu tio ‘Lorota’.</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inquérito policial foi instaurado na 1ª Delegacia da Mulher de Francisco Morato, onde foi registrado o boletim de ocorrência e as declarações de Lívia. </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saber que Lívia tinha registrado boletim de ocorrência, Sérgio se evadiu para local incerto e não sabido, em razão disso, o delegado responsável pela condução do inquérito representou por sua prisão preventiva, o que foi acatado pelo juiz criminal da comarca de Francisco Morato e, assim, foi expedido o competente mandado de prisão.</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Após alguns dias de buscas, Sérgio ‘Lorota’ foi encontrado e preso.</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Determinado seu interrogatório, o delegado responsável pela condução do inquérito nada mencionou a respeito de o investigado poder ser acompanhado de advogado e, assim, conduziu unilateralmente os atos inquisitoriais e procedeu ao formal indiciamento de ‘Lorota’.</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Concluído o relatório, o delegado remeteu os autos à Vara Criminal de Francisco Morato e o processo penal foi formalmente instaurado, sendo ‘Lorota’ denunciado pelo crime previsto no art. 217-A do Código Penal.</w:t>
      </w:r>
    </w:p>
    <w:p w:rsidR="00000000" w:rsidDel="00000000" w:rsidP="00000000" w:rsidRDefault="00000000" w:rsidRPr="00000000" w14:paraId="0000006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Dias após o recebimento da denúncia, Lívia recebe uma ligação de um rapaz que se diz advogado de defesa de seu tio Sérgio:</w:t>
      </w:r>
    </w:p>
    <w:p w:rsidR="00000000" w:rsidDel="00000000" w:rsidP="00000000" w:rsidRDefault="00000000" w:rsidRPr="00000000" w14:paraId="0000006D">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Olá, falo com Lívia?</w:t>
      </w:r>
    </w:p>
    <w:p w:rsidR="00000000" w:rsidDel="00000000" w:rsidP="00000000" w:rsidRDefault="00000000" w:rsidRPr="00000000" w14:paraId="0000006E">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Sim, quem gostaria?</w:t>
      </w:r>
    </w:p>
    <w:p w:rsidR="00000000" w:rsidDel="00000000" w:rsidP="00000000" w:rsidRDefault="00000000" w:rsidRPr="00000000" w14:paraId="0000006F">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Aqui é Pedro, sou advogado do Sérgio ‘Lorota’, seu tio. Gostaria de conversar com você pessoalmente.</w:t>
      </w:r>
    </w:p>
    <w:p w:rsidR="00000000" w:rsidDel="00000000" w:rsidP="00000000" w:rsidRDefault="00000000" w:rsidRPr="00000000" w14:paraId="0000007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acaba por concordar e então marca um encontro com Pedro, advogado de defesa de seu tio.</w:t>
      </w:r>
    </w:p>
    <w:p w:rsidR="00000000" w:rsidDel="00000000" w:rsidP="00000000" w:rsidRDefault="00000000" w:rsidRPr="00000000" w14:paraId="0000007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Pedro explica a situação complicada de seu e pede para que a moça vá até a delegacia e “desminta” as acusações formuladas, argumentando:</w:t>
      </w:r>
    </w:p>
    <w:p w:rsidR="00000000" w:rsidDel="00000000" w:rsidP="00000000" w:rsidRDefault="00000000" w:rsidRPr="00000000" w14:paraId="00000072">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Lívia, a situação de Sérgio não é nada boa. Faz apenas quatro anos que ele saiu do presídio onde estava cumprindo pena pelo crime de tráfico de drogas, pena de dez anos. Se ele for condenado em mais esse crime, a situação dele ficará extremamente complicada! Você precisa ajudar seu tio.</w:t>
      </w:r>
    </w:p>
    <w:p w:rsidR="00000000" w:rsidDel="00000000" w:rsidP="00000000" w:rsidRDefault="00000000" w:rsidRPr="00000000" w14:paraId="0000007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se irrita completamente com Pedro e ao se levantar para ir embora, o advogado lhe diz, em tom ameaçador:</w:t>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Faça como quiser então. Pois hoje mesmo entrarei com um ‘habeas corpus’ para anular todo este processo no qual você o acusa, mesmo porque, na delegacia, seu tio foi interrogado sem minha presença ou de qualquer outro advogado. E assim que anularmos esse processo, vamos processá-la pelo crime de calúnia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Mais irritada ainda com estas palavras, Lívia entra no primeiro táxi que vê e vai embora.</w:t>
      </w:r>
    </w:p>
    <w:p w:rsidR="00000000" w:rsidDel="00000000" w:rsidP="00000000" w:rsidRDefault="00000000" w:rsidRPr="00000000" w14:paraId="0000007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depara-se com uma correspondência do advogado que a representou em um processo contra uma instituição financeira que realizou um empréstimo fraudulento em seu nome.</w:t>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a PNTM Financeira S.A., possuindo os dados pessoais de Lívia, efetuou um empréstimo no montante de R$ 20.000,00 (vinte mil reais) em nome da moça, sendo que este valor nunca fora depositado em sua conta bancária, e ainda passaram a lhe cobrar, mediante boleto, o valor mensal de R$ 400,00 (quatrocentos reais).</w:t>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disso, por indicação de uma amiga, Lívia contratou Cléber, advogado recém-formado, que propôs, então, ação de declaração de inexistência de relação jurídica combinada com declaração de inexigibilidade de débito combinada com indenização por danos morais em face da PNTM Financeira S.A, que correu na 3ª Vara Cível da Comarca da Capital.</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inicial, fora demonstrada a realização fraudulenta do empréstimo, sendo certo que Lívia não chegou a pagar nenhum valor dos boletos. Contudo, quanto ao pedido de danos morais, na inicial, foi requerido o montante de R$ 10.000,00 (dez mil reais).</w:t>
      </w:r>
    </w:p>
    <w:p w:rsidR="00000000" w:rsidDel="00000000" w:rsidP="00000000" w:rsidRDefault="00000000" w:rsidRPr="00000000" w14:paraId="0000007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Sobreveio, então, a sentença que condenou a financeira requerida:</w:t>
      </w:r>
    </w:p>
    <w:p w:rsidR="00000000" w:rsidDel="00000000" w:rsidP="00000000" w:rsidRDefault="00000000" w:rsidRPr="00000000" w14:paraId="0000007C">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Ante o exposto, julgo </w:t>
      </w:r>
      <w:r w:rsidDel="00000000" w:rsidR="00000000" w:rsidRPr="00000000">
        <w:rPr>
          <w:rFonts w:ascii="Verdana" w:cs="Verdana" w:eastAsia="Verdana" w:hAnsi="Verdana"/>
          <w:b w:val="1"/>
          <w:i w:val="1"/>
          <w:sz w:val="24"/>
          <w:szCs w:val="24"/>
          <w:rtl w:val="0"/>
        </w:rPr>
        <w:t xml:space="preserve">procedente</w:t>
      </w:r>
      <w:r w:rsidDel="00000000" w:rsidR="00000000" w:rsidRPr="00000000">
        <w:rPr>
          <w:rFonts w:ascii="Verdana" w:cs="Verdana" w:eastAsia="Verdana" w:hAnsi="Verdana"/>
          <w:i w:val="1"/>
          <w:sz w:val="24"/>
          <w:szCs w:val="24"/>
          <w:rtl w:val="0"/>
        </w:rPr>
        <w:t xml:space="preserve"> o pedido da autora para condenar a requerida a indenizá-la pelos danos morais suportados, no montante de R$ 5.000,00 (cinco mil reais) ... Fixo os honorários de sucumbência em 20% (vinte por cento) do valor da condenação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Retornando à correspondência, nela Lívia é notificada a comparecer ao escritório de Cléber para tratar do assunto envolvendo este processo.</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Lá chegando, Cléber informa Lívia de toda a situação processual e explica que seria possível ainda recorrer da sentença com a finalidade de se buscar uma condenação em patamar maior. Lívia, no entanto, diz que está satisfeita com este valor e que não quer dar prosseguimento no caso.</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Passadas algumas semanas, seguindo sua vida pessoal e acadêmica normalmente, Lívia recebe, certo dia, duas intimações.</w:t>
      </w:r>
    </w:p>
    <w:p w:rsidR="00000000" w:rsidDel="00000000" w:rsidP="00000000" w:rsidRDefault="00000000" w:rsidRPr="00000000" w14:paraId="0000008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primeira, uma cível, na qual é informada da data de julgamento do recurso de apelação interposto contra a sentença cível que condenou a financeira PNTM Financeira S.A.</w:t>
      </w:r>
    </w:p>
    <w:p w:rsidR="00000000" w:rsidDel="00000000" w:rsidP="00000000" w:rsidRDefault="00000000" w:rsidRPr="00000000" w14:paraId="0000008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Estranhando o conteúdo da intimação, a moça vai até o Cartório da 3ª Vara Cível e lá pede esclarecimentos sobre o que teria ocorrido. O escrevente acessa os autos e explica o seguinte a Lívia:</w:t>
      </w:r>
    </w:p>
    <w:p w:rsidR="00000000" w:rsidDel="00000000" w:rsidP="00000000" w:rsidRDefault="00000000" w:rsidRPr="00000000" w14:paraId="0000008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A sentença foi publicada para seu advogado e para o advogado da financeira dia </w:t>
      </w:r>
      <w:r w:rsidDel="00000000" w:rsidR="00000000" w:rsidRPr="00000000">
        <w:rPr>
          <w:rFonts w:ascii="Verdana" w:cs="Verdana" w:eastAsia="Verdana" w:hAnsi="Verdana"/>
          <w:i w:val="1"/>
          <w:sz w:val="24"/>
          <w:szCs w:val="24"/>
          <w:u w:val="single"/>
          <w:rtl w:val="0"/>
        </w:rPr>
        <w:t xml:space="preserve">11 de julho de 2022</w:t>
      </w:r>
      <w:r w:rsidDel="00000000" w:rsidR="00000000" w:rsidRPr="00000000">
        <w:rPr>
          <w:rFonts w:ascii="Verdana" w:cs="Verdana" w:eastAsia="Verdana" w:hAnsi="Verdana"/>
          <w:i w:val="1"/>
          <w:sz w:val="24"/>
          <w:szCs w:val="24"/>
          <w:rtl w:val="0"/>
        </w:rPr>
        <w:t xml:space="preserve">. Seu advogado apresentou recurso no dia </w:t>
      </w:r>
      <w:r w:rsidDel="00000000" w:rsidR="00000000" w:rsidRPr="00000000">
        <w:rPr>
          <w:rFonts w:ascii="Verdana" w:cs="Verdana" w:eastAsia="Verdana" w:hAnsi="Verdana"/>
          <w:i w:val="1"/>
          <w:sz w:val="24"/>
          <w:szCs w:val="24"/>
          <w:u w:val="single"/>
          <w:rtl w:val="0"/>
        </w:rPr>
        <w:t xml:space="preserve">01 de agosto de 2022</w:t>
      </w:r>
      <w:r w:rsidDel="00000000" w:rsidR="00000000" w:rsidRPr="00000000">
        <w:rPr>
          <w:rFonts w:ascii="Verdana" w:cs="Verdana" w:eastAsia="Verdana" w:hAnsi="Verdana"/>
          <w:i w:val="1"/>
          <w:sz w:val="24"/>
          <w:szCs w:val="24"/>
          <w:rtl w:val="0"/>
        </w:rPr>
        <w:t xml:space="preserve"> e a financeira não tinha apresentado nada até esta data, perdendo o prazo para o recurso. Aliás, no seu recurso o advogado pede para o Tribunal aumentar a indenização para dez mil reais. Quando a financeira foi intimada pra responder ao recurso, ela resolveu também recorrer e agora ela pede pra que a indenização seja reduzida para mil reais ou até que o seu pedido seja julgado improcedente</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mais uma vez se irrita com toda a situação, pois não queria que houvesse recurso da sentença, sendo certo que seu advogado recorreu por vontade própria.</w:t>
      </w:r>
    </w:p>
    <w:p w:rsidR="00000000" w:rsidDel="00000000" w:rsidP="00000000" w:rsidRDefault="00000000" w:rsidRPr="00000000" w14:paraId="0000008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quis novamente verificar o contrato que celebrou com Cléber para ver se ele poderia recorrer mesmo contra sua vontade e ao reler as cláusulas se deparou com a de número “12” que assim dizia:</w:t>
      </w:r>
    </w:p>
    <w:p w:rsidR="00000000" w:rsidDel="00000000" w:rsidP="00000000" w:rsidRDefault="00000000" w:rsidRPr="00000000" w14:paraId="00000086">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sz w:val="24"/>
          <w:szCs w:val="24"/>
          <w:u w:val="single"/>
          <w:rtl w:val="0"/>
        </w:rPr>
        <w:t xml:space="preserve">CLÁUSULA 12</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O CONTRATADO receberá, a título de honorários pelo serviço prestado, a quantia de 60% (sessenta por cento) do proveito econômico que a CONTRATANTE obtiver. Os honorários sucumbenciais são de totalidade do CONTRATADO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reler a cláusula, as coisas pareciam se encaixar: o interesse do causídico demonstrava ser puramente o enriquecimento.</w:t>
      </w:r>
    </w:p>
    <w:p w:rsidR="00000000" w:rsidDel="00000000" w:rsidP="00000000" w:rsidRDefault="00000000" w:rsidRPr="00000000" w14:paraId="00000088">
      <w:pPr>
        <w:spacing w:after="200" w:line="360" w:lineRule="auto"/>
        <w:ind w:firstLine="850"/>
        <w:jc w:val="both"/>
        <w:rPr>
          <w:rFonts w:ascii="Verdana" w:cs="Verdana" w:eastAsia="Verdana" w:hAnsi="Verdana"/>
          <w:i w:val="1"/>
          <w:color w:val="ff0000"/>
          <w:sz w:val="24"/>
          <w:szCs w:val="24"/>
        </w:rPr>
      </w:pPr>
      <w:r w:rsidDel="00000000" w:rsidR="00000000" w:rsidRPr="00000000">
        <w:rPr>
          <w:rFonts w:ascii="Verdana" w:cs="Verdana" w:eastAsia="Verdana" w:hAnsi="Verdana"/>
          <w:sz w:val="24"/>
          <w:szCs w:val="24"/>
          <w:rtl w:val="0"/>
        </w:rPr>
        <w:t xml:space="preserve">Deixado o contrato de lado, ao ler a segunda intimação, esta oriunda da Vara Criminal de Francisco Morato, Lívia toma conhecimento que, de fato, o </w:t>
      </w:r>
      <w:r w:rsidDel="00000000" w:rsidR="00000000" w:rsidRPr="00000000">
        <w:rPr>
          <w:rFonts w:ascii="Verdana" w:cs="Verdana" w:eastAsia="Verdana" w:hAnsi="Verdana"/>
          <w:i w:val="1"/>
          <w:sz w:val="24"/>
          <w:szCs w:val="24"/>
          <w:rtl w:val="0"/>
        </w:rPr>
        <w:t xml:space="preserve">habeas corpus</w:t>
      </w:r>
      <w:r w:rsidDel="00000000" w:rsidR="00000000" w:rsidRPr="00000000">
        <w:rPr>
          <w:rFonts w:ascii="Verdana" w:cs="Verdana" w:eastAsia="Verdana" w:hAnsi="Verdana"/>
          <w:sz w:val="24"/>
          <w:szCs w:val="24"/>
          <w:rtl w:val="0"/>
        </w:rPr>
        <w:t xml:space="preserve"> foi impetrado em favor de seu tio Sérgio ‘Lorota’ e isso efetivamente a preocupou.</w:t>
      </w:r>
      <w:r w:rsidDel="00000000" w:rsidR="00000000" w:rsidRPr="00000000">
        <w:rPr>
          <w:rtl w:val="0"/>
        </w:rPr>
      </w:r>
    </w:p>
    <w:p w:rsidR="00000000" w:rsidDel="00000000" w:rsidP="00000000" w:rsidRDefault="00000000" w:rsidRPr="00000000" w14:paraId="0000008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de todos estes fatos, Lívia Roberta procura, então, o seu escritório de advocacia para formular os seguintes questionamentos:</w:t>
      </w:r>
    </w:p>
    <w:p w:rsidR="00000000" w:rsidDel="00000000" w:rsidP="00000000" w:rsidRDefault="00000000" w:rsidRPr="00000000" w14:paraId="0000008A">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Pelo fato de Sérgio ‘Lorota’ ter sido ouvido diante do delegado de polícia sem a presença de advogado, poderá a investigação e o processo todo, por este fato, serem anulados?</w:t>
      </w:r>
    </w:p>
    <w:p w:rsidR="00000000" w:rsidDel="00000000" w:rsidP="00000000" w:rsidRDefault="00000000" w:rsidRPr="00000000" w14:paraId="0000008B">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Se for condenado neste processo em que é acusado de estupro de vulnerável, Sérgio Lorota cumprirá integralmente a pena no presídio?</w:t>
      </w:r>
    </w:p>
    <w:p w:rsidR="00000000" w:rsidDel="00000000" w:rsidP="00000000" w:rsidRDefault="00000000" w:rsidRPr="00000000" w14:paraId="0000008C">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Este recurso da financeira está correto? Pode ela, mesmo passando o prazo, apresentar o recurso junto ao seu?</w:t>
      </w:r>
    </w:p>
    <w:p w:rsidR="00000000" w:rsidDel="00000000" w:rsidP="00000000" w:rsidRDefault="00000000" w:rsidRPr="00000000" w14:paraId="0000008D">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cláusula n. 12 do contrato de “Prestação de Serviços e Honorários Advocatícios”? É permitida a cobrança de honorários naquele patamar?</w:t>
      </w:r>
    </w:p>
    <w:p w:rsidR="00000000" w:rsidDel="00000000" w:rsidP="00000000" w:rsidRDefault="00000000" w:rsidRPr="00000000" w14:paraId="0000008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condição de advogados de Lívia, formulem um parecer jurídico que responda aos questionamentos apresentados de maneira fundamentada.</w:t>
      </w:r>
    </w:p>
    <w:p w:rsidR="00000000" w:rsidDel="00000000" w:rsidP="00000000" w:rsidRDefault="00000000" w:rsidRPr="00000000" w14:paraId="0000008F">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0">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1">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2">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3">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4">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5">
      <w:pPr>
        <w:spacing w:after="200" w:line="360" w:lineRule="auto"/>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6">
      <w:pPr>
        <w:spacing w:after="240" w:before="240" w:line="36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PARECER JURÍDICO</w:t>
      </w:r>
    </w:p>
    <w:p w:rsidR="00000000" w:rsidDel="00000000" w:rsidP="00000000" w:rsidRDefault="00000000" w:rsidRPr="00000000" w14:paraId="00000097">
      <w:pPr>
        <w:spacing w:after="240" w:before="240"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 </w:t>
      </w:r>
    </w:p>
    <w:p w:rsidR="00000000" w:rsidDel="00000000" w:rsidP="00000000" w:rsidRDefault="00000000" w:rsidRPr="00000000" w14:paraId="00000098">
      <w:pPr>
        <w:spacing w:after="240" w:before="240" w:line="360" w:lineRule="auto"/>
        <w:ind w:firstLine="860"/>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ASSUNTO: </w:t>
      </w:r>
      <w:r w:rsidDel="00000000" w:rsidR="00000000" w:rsidRPr="00000000">
        <w:rPr>
          <w:rFonts w:ascii="Verdana" w:cs="Verdana" w:eastAsia="Verdana" w:hAnsi="Verdana"/>
          <w:sz w:val="24"/>
          <w:szCs w:val="24"/>
          <w:rtl w:val="0"/>
        </w:rPr>
        <w:t xml:space="preserve">Interrogatório Policial. Progressão de Regime. Cabimento do Instrumento Recursal. Contrato de Prestação de Serviço e Honorários Advocatícios. </w:t>
      </w:r>
    </w:p>
    <w:p w:rsidR="00000000" w:rsidDel="00000000" w:rsidP="00000000" w:rsidRDefault="00000000" w:rsidRPr="00000000" w14:paraId="00000099">
      <w:pPr>
        <w:spacing w:after="200" w:before="240" w:line="360" w:lineRule="auto"/>
        <w:ind w:firstLine="8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 </w:t>
      </w:r>
    </w:p>
    <w:p w:rsidR="00000000" w:rsidDel="00000000" w:rsidP="00000000" w:rsidRDefault="00000000" w:rsidRPr="00000000" w14:paraId="0000009A">
      <w:pPr>
        <w:spacing w:after="200" w:before="240" w:line="360" w:lineRule="auto"/>
        <w:ind w:firstLine="860"/>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CONSULENTE: </w:t>
      </w:r>
      <w:r w:rsidDel="00000000" w:rsidR="00000000" w:rsidRPr="00000000">
        <w:rPr>
          <w:rFonts w:ascii="Verdana" w:cs="Verdana" w:eastAsia="Verdana" w:hAnsi="Verdana"/>
          <w:sz w:val="24"/>
          <w:szCs w:val="24"/>
          <w:rtl w:val="0"/>
        </w:rPr>
        <w:t xml:space="preserve">Lívia </w:t>
      </w:r>
    </w:p>
    <w:p w:rsidR="00000000" w:rsidDel="00000000" w:rsidP="00000000" w:rsidRDefault="00000000" w:rsidRPr="00000000" w14:paraId="0000009B">
      <w:pPr>
        <w:spacing w:after="200" w:before="240" w:line="360" w:lineRule="auto"/>
        <w:ind w:firstLine="86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C">
      <w:pPr>
        <w:spacing w:after="200" w:line="360" w:lineRule="auto"/>
        <w:ind w:left="2840" w:right="1100" w:firstLine="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EMENTA: DIREITO PROCESSUAL PENAL. INTERROGATÓRIO POLICIAL DO ACUSADO. DESNECESSIDADE DA PRESENÇA DE ADVOGADO. VÍCIOS NO INQUÉRITO NÃO MACULAM AÇÃO PENAL. DIREITO PROCESSUAL CIVIL. RECURSO ADESIVO TEMPESTIVO. APRESENTAÇÃO. DIREITO PENAL. PROGRESSÃO DE REGIME DO REINCIDENTE CONDENADO POR CRIME HEDIONDO.  POSSIBILIDADE. DIREITO CIVIL. CONTRATO. HONORÁRIOS ADVOCATÍCIOS. VALOR DOS HONORÁRIOS CONTRATUAIS EM PATAMAR ELEVADO. </w:t>
      </w:r>
    </w:p>
    <w:p w:rsidR="00000000" w:rsidDel="00000000" w:rsidP="00000000" w:rsidRDefault="00000000" w:rsidRPr="00000000" w14:paraId="0000009D">
      <w:pPr>
        <w:spacing w:after="200" w:line="360" w:lineRule="auto"/>
        <w:ind w:left="2840" w:right="1100" w:firstLine="0"/>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9E">
      <w:pPr>
        <w:spacing w:after="240" w:before="240" w:line="360" w:lineRule="auto"/>
        <w:ind w:firstLine="8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Relatório:</w:t>
      </w:r>
    </w:p>
    <w:p w:rsidR="00000000" w:rsidDel="00000000" w:rsidP="00000000" w:rsidRDefault="00000000" w:rsidRPr="00000000" w14:paraId="0000009F">
      <w:pPr>
        <w:spacing w:after="240" w:before="24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Trata-se de parecer jurídico solicitado por Lívia Roberta, maior, a qual foi vítima por diversas vezes, de abuso sexual aos 11 (onze) anos de idade por seu tio Sérgio Lorota quando residiam na mesma casa, inclusive com seus 04 (quatro) irmãos e sua mãe. </w:t>
      </w:r>
    </w:p>
    <w:p w:rsidR="00000000" w:rsidDel="00000000" w:rsidP="00000000" w:rsidRDefault="00000000" w:rsidRPr="00000000" w14:paraId="000000A0">
      <w:pPr>
        <w:spacing w:after="240" w:before="24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Apesar dos profundos danos emocionais e psicológicos, Lívia manteve-se em silêncio até completar 19 (dezenove) anos, quando decidiu procurar as autoridades competentes para relatar todo o ocorrido, tendo lavrado boletim de ocorrência junto a 1ª Delegacia da Mulher de Francisco Morato, a qual instaurou Inquérito Policial para investigação.</w:t>
      </w:r>
    </w:p>
    <w:p w:rsidR="00000000" w:rsidDel="00000000" w:rsidP="00000000" w:rsidRDefault="00000000" w:rsidRPr="00000000" w14:paraId="000000A1">
      <w:pPr>
        <w:spacing w:after="240" w:before="24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Sérgio Lorota ao saber sobre o registro do Boletim de Ocorrência, evadiu-se para local desconhecido e, diante desta situação, o delegado responsável pela condução do Inquérito representou por sua prisão preventiva, sendo o pedido acatado pelo juiz criminal da comarca, expedindo o mandado de prisão. </w:t>
      </w:r>
    </w:p>
    <w:p w:rsidR="00000000" w:rsidDel="00000000" w:rsidP="00000000" w:rsidRDefault="00000000" w:rsidRPr="00000000" w14:paraId="000000A2">
      <w:pPr>
        <w:spacing w:after="240" w:before="24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Após alguns dias de buscas, Sérgio Lorota foi encontrado e preso preventivamente, dando início ao Inquérito Policial, onde o delegado responsável não mencionou sobre a possibilidade do investigado poder ser acompanhado de patrono, conduzindo unilateralmente os atos inquisitoriais, procedendo ao indiciamento do acusado. </w:t>
      </w:r>
    </w:p>
    <w:p w:rsidR="00000000" w:rsidDel="00000000" w:rsidP="00000000" w:rsidRDefault="00000000" w:rsidRPr="00000000" w14:paraId="000000A3">
      <w:pPr>
        <w:spacing w:after="240" w:before="24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 a conclusão do relatório, o delegado remeteu os autos à Vara Criminal de Francisco Morato, sendo o processo penal formalmente instaurado e Sérgio Lorota denunciado pelo crime previsto no art. 217-A do Código Penal. </w:t>
      </w:r>
    </w:p>
    <w:p w:rsidR="00000000" w:rsidDel="00000000" w:rsidP="00000000" w:rsidRDefault="00000000" w:rsidRPr="00000000" w14:paraId="000000A4">
      <w:pPr>
        <w:spacing w:after="240" w:before="24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Após o recebimento da denúncia, Pedro, advogado de defesa do acusado, contatou Lívia propondo para que ela “desmentisse” as acusações contra o seu tio Sérgio, pelo fato dele já ter sido preso pelo crime de tráfico de drogas, cumprindo 10 (dez) anos de prisão e estando em liberdade há apenas 04 (quatro) anos, pois caso ele fosse condenado por mais esse crime sua situação ficaria complicada. </w:t>
      </w:r>
    </w:p>
    <w:p w:rsidR="00000000" w:rsidDel="00000000" w:rsidP="00000000" w:rsidRDefault="00000000" w:rsidRPr="00000000" w14:paraId="000000A5">
      <w:pPr>
        <w:spacing w:after="240" w:before="24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Tendo Lívia negado a proposta de Pedro, este lhe disse em tom ameaçador que entraria com um “habeas corpus” para anular todo o processo, porque seu cliente havia sido interrogado sem a sua presença ou a de qualquer outro advogado, e ainda, ameaçou de processá-la pelo crime de calúnia. Não permanecendo somente com ameaça, Pedro impetrou o habeas corpus em favor de Sérgio Lorota. </w:t>
      </w:r>
    </w:p>
    <w:p w:rsidR="00000000" w:rsidDel="00000000" w:rsidP="00000000" w:rsidRDefault="00000000" w:rsidRPr="00000000" w14:paraId="000000A6">
      <w:pPr>
        <w:spacing w:after="240" w:before="24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Além de todo o narrado, Lívia havia contratado anteriormente o Dr. Cléber, para representá-la em um processo contra a PNTM Financeira S.A., pois esta possuindo os seus dados pessoais, efetuou um empréstimo fraudulento em seu nome, no valor de R$ 20.000,00 (vinte mil reais), cobrando posteriormente a quantia de R$ 400,00 (quatrocentos reais) mensais.</w:t>
      </w:r>
    </w:p>
    <w:p w:rsidR="00000000" w:rsidDel="00000000" w:rsidP="00000000" w:rsidRDefault="00000000" w:rsidRPr="00000000" w14:paraId="000000A7">
      <w:pPr>
        <w:spacing w:after="240" w:before="24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da situação fraudulenta, Cléber propôs ação de declaração de inexistência de relação jurídica combinada com declaração de inexigibilidade de débito combinada com indenização por danos morais no valor de R$ 10.000,00 (dez mil reais) em face da Instituição Financeira, que ocorreu na 3ª Vara Cível da Comarca da Capital. </w:t>
      </w:r>
    </w:p>
    <w:p w:rsidR="00000000" w:rsidDel="00000000" w:rsidP="00000000" w:rsidRDefault="00000000" w:rsidRPr="00000000" w14:paraId="000000A8">
      <w:pPr>
        <w:spacing w:after="240" w:before="24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Após o pedido de danos morais ter sido julgado procedente no valor de R$ 5.000,00 (cinco mil reais) e os honorários de sucumbência fixados em 20% (vinte por cento) do valor da condenação, Cléber informa Lívia que seria possível recorrer da sentença em busca de uma condenação em valor maior, não tendo o aceite de sua cliente. </w:t>
      </w:r>
    </w:p>
    <w:p w:rsidR="00000000" w:rsidDel="00000000" w:rsidP="00000000" w:rsidRDefault="00000000" w:rsidRPr="00000000" w14:paraId="000000A9">
      <w:pPr>
        <w:spacing w:after="240" w:before="24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Entretanto, mesmo sem o consentimento de Lívia, após publicada a sentença no dia 11 (onze) de julho de 2002, Cléber interpôs um recurso de apelação no dia 01 (um) de agosto de 2022, pedindo para o Tribunal aumentar a indenização para R$ 10.000,00 (dez mil reais), e em razão da perda do prazo, esta optou por recorrer pedindo que a indenização fosse reduzida para R$1.000,00 (mil reais) ou, alternativamente, improcedência dos pedidos. </w:t>
      </w:r>
    </w:p>
    <w:p w:rsidR="00000000" w:rsidDel="00000000" w:rsidP="00000000" w:rsidRDefault="00000000" w:rsidRPr="00000000" w14:paraId="000000AA">
      <w:pPr>
        <w:spacing w:after="240" w:before="24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Todavia, no contrato celebrado com o Cléber, mais especificadamente na cláusula 12, Lívia teria de pagar a quantia de 60% (sessenta por cento) do proveito econômico que a consulente obtivesse, demonstrando puramente o interesse por enriquecimento por parte do advogado. </w:t>
      </w:r>
    </w:p>
    <w:p w:rsidR="00000000" w:rsidDel="00000000" w:rsidP="00000000" w:rsidRDefault="00000000" w:rsidRPr="00000000" w14:paraId="000000AB">
      <w:pPr>
        <w:spacing w:after="240" w:before="240" w:line="360" w:lineRule="auto"/>
        <w:ind w:firstLine="8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As condições da presente análise, envolvem:</w:t>
      </w:r>
    </w:p>
    <w:p w:rsidR="00000000" w:rsidDel="00000000" w:rsidP="00000000" w:rsidRDefault="00000000" w:rsidRPr="00000000" w14:paraId="000000AC">
      <w:pPr>
        <w:numPr>
          <w:ilvl w:val="0"/>
          <w:numId w:val="2"/>
        </w:numPr>
        <w:spacing w:after="200" w:line="360" w:lineRule="auto"/>
        <w:ind w:left="1211"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Pelo fato de Sérgio ‘Lorota’ ter sido ouvido diante do delegado de polícia sem a presença de advogado, poderá a investigação e o processo todo, por este fato, serem anulados?</w:t>
      </w:r>
    </w:p>
    <w:p w:rsidR="00000000" w:rsidDel="00000000" w:rsidP="00000000" w:rsidRDefault="00000000" w:rsidRPr="00000000" w14:paraId="000000AD">
      <w:pPr>
        <w:numPr>
          <w:ilvl w:val="0"/>
          <w:numId w:val="2"/>
        </w:numPr>
        <w:spacing w:after="200" w:line="360" w:lineRule="auto"/>
        <w:ind w:left="1211"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Se for condenado neste processo em que é acusado de estupro de vulnerável, Sérgio Lorota cumprirá integralmente a pena no presídio?</w:t>
      </w:r>
    </w:p>
    <w:p w:rsidR="00000000" w:rsidDel="00000000" w:rsidP="00000000" w:rsidRDefault="00000000" w:rsidRPr="00000000" w14:paraId="000000AE">
      <w:pPr>
        <w:numPr>
          <w:ilvl w:val="0"/>
          <w:numId w:val="2"/>
        </w:numPr>
        <w:spacing w:after="200" w:line="360" w:lineRule="auto"/>
        <w:ind w:left="1211"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Este recurso da financeira está correto? Pode ela, mesmo passando o prazo, apresentar o recurso junto ao seu?</w:t>
      </w:r>
    </w:p>
    <w:p w:rsidR="00000000" w:rsidDel="00000000" w:rsidP="00000000" w:rsidRDefault="00000000" w:rsidRPr="00000000" w14:paraId="000000AF">
      <w:pPr>
        <w:numPr>
          <w:ilvl w:val="0"/>
          <w:numId w:val="2"/>
        </w:numPr>
        <w:spacing w:after="200" w:line="360" w:lineRule="auto"/>
        <w:ind w:left="1211"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cláusula n. 12 do contrato de “Prestação de Serviços e Honorários Advocatícios”? É permitida a cobrança de honorários naquele patamar?</w:t>
      </w:r>
    </w:p>
    <w:p w:rsidR="00000000" w:rsidDel="00000000" w:rsidP="00000000" w:rsidRDefault="00000000" w:rsidRPr="00000000" w14:paraId="000000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40" w:line="360" w:lineRule="auto"/>
        <w:ind w:left="1211" w:right="0" w:firstLine="0"/>
        <w:jc w:val="both"/>
        <w:rPr>
          <w:rFonts w:ascii="Verdana" w:cs="Verdana" w:eastAsia="Verdana" w:hAnsi="Verdana"/>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1211" w:right="0" w:firstLine="0"/>
        <w:jc w:val="both"/>
        <w:rPr>
          <w:rFonts w:ascii="Verdana" w:cs="Verdana" w:eastAsia="Verdana" w:hAnsi="Verdana"/>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É o relatório, passa-se ao parecer opinativo</w:t>
      </w:r>
    </w:p>
    <w:p w:rsidR="00000000" w:rsidDel="00000000" w:rsidP="00000000" w:rsidRDefault="00000000" w:rsidRPr="00000000" w14:paraId="000000B2">
      <w:pPr>
        <w:spacing w:after="200" w:line="360" w:lineRule="auto"/>
        <w:ind w:left="1211" w:firstLine="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B3">
      <w:pPr>
        <w:spacing w:after="200" w:line="360" w:lineRule="auto"/>
        <w:ind w:left="1211" w:firstLine="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B4">
      <w:pPr>
        <w:spacing w:after="200" w:line="360" w:lineRule="auto"/>
        <w:ind w:left="1211" w:firstLine="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B5">
      <w:pPr>
        <w:spacing w:after="200" w:line="360" w:lineRule="auto"/>
        <w:ind w:left="1211" w:firstLine="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B6">
      <w:pPr>
        <w:shd w:fill="ffffff" w:val="clear"/>
        <w:spacing w:after="0" w:before="240" w:line="360" w:lineRule="auto"/>
        <w:ind w:firstLine="860"/>
        <w:jc w:val="center"/>
        <w:rPr>
          <w:rFonts w:ascii="Verdana" w:cs="Verdana" w:eastAsia="Verdana" w:hAnsi="Verdana"/>
          <w:b w:val="1"/>
          <w:color w:val="202124"/>
          <w:sz w:val="24"/>
          <w:szCs w:val="24"/>
          <w:highlight w:val="white"/>
        </w:rPr>
      </w:pPr>
      <w:r w:rsidDel="00000000" w:rsidR="00000000" w:rsidRPr="00000000">
        <w:rPr>
          <w:rtl w:val="0"/>
        </w:rPr>
      </w:r>
    </w:p>
    <w:p w:rsidR="00000000" w:rsidDel="00000000" w:rsidP="00000000" w:rsidRDefault="00000000" w:rsidRPr="00000000" w14:paraId="000000B7">
      <w:pPr>
        <w:shd w:fill="ffffff" w:val="clear"/>
        <w:spacing w:after="0" w:before="240" w:line="360" w:lineRule="auto"/>
        <w:ind w:firstLine="860"/>
        <w:jc w:val="center"/>
        <w:rPr>
          <w:rFonts w:ascii="Verdana" w:cs="Verdana" w:eastAsia="Verdana" w:hAnsi="Verdana"/>
          <w:b w:val="1"/>
          <w:color w:val="202124"/>
          <w:sz w:val="24"/>
          <w:szCs w:val="24"/>
          <w:highlight w:val="white"/>
        </w:rPr>
      </w:pPr>
      <w:r w:rsidDel="00000000" w:rsidR="00000000" w:rsidRPr="00000000">
        <w:rPr>
          <w:rFonts w:ascii="Verdana" w:cs="Verdana" w:eastAsia="Verdana" w:hAnsi="Verdana"/>
          <w:b w:val="1"/>
          <w:color w:val="202124"/>
          <w:sz w:val="24"/>
          <w:szCs w:val="24"/>
          <w:highlight w:val="white"/>
          <w:rtl w:val="0"/>
        </w:rPr>
        <w:t xml:space="preserve">INQUÉRITO POLICIAL – DIREITO PROCESSUAL PENAL</w:t>
      </w:r>
    </w:p>
    <w:p w:rsidR="00000000" w:rsidDel="00000000" w:rsidP="00000000" w:rsidRDefault="00000000" w:rsidRPr="00000000" w14:paraId="000000B8">
      <w:pPr>
        <w:shd w:fill="ffffff" w:val="clear"/>
        <w:spacing w:after="0" w:before="240" w:line="360" w:lineRule="auto"/>
        <w:ind w:firstLine="851"/>
        <w:jc w:val="both"/>
        <w:rPr>
          <w:rFonts w:ascii="Verdana" w:cs="Verdana" w:eastAsia="Verdana" w:hAnsi="Verdana"/>
          <w:color w:val="202124"/>
          <w:sz w:val="24"/>
          <w:szCs w:val="24"/>
          <w:highlight w:val="white"/>
        </w:rPr>
      </w:pPr>
      <w:r w:rsidDel="00000000" w:rsidR="00000000" w:rsidRPr="00000000">
        <w:rPr>
          <w:rFonts w:ascii="Verdana" w:cs="Verdana" w:eastAsia="Verdana" w:hAnsi="Verdana"/>
          <w:color w:val="202124"/>
          <w:sz w:val="24"/>
          <w:szCs w:val="24"/>
          <w:highlight w:val="white"/>
          <w:rtl w:val="0"/>
        </w:rPr>
        <w:t xml:space="preserve">De acordo com o caso apresentado para a formalização do presente parecer, e abordando a indagação da consulente no que tange ao Direito Processual Penal sobre a oitiva do acusado sem presença de advogado, é primordial ressaltar que o inquérito policial é um procedimento administrativo de caráter informativo, tendo como finalidade apurar indícios de autoria e de materialidade das infrações penais investigadas, permitindo ao ofendido </w:t>
      </w:r>
      <w:sdt>
        <w:sdtPr>
          <w:tag w:val="goog_rdk_1"/>
        </w:sdtPr>
        <w:sdtContent>
          <w:commentRangeStart w:id="1"/>
        </w:sdtContent>
      </w:sdt>
      <w:r w:rsidDel="00000000" w:rsidR="00000000" w:rsidRPr="00000000">
        <w:rPr>
          <w:rFonts w:ascii="Verdana" w:cs="Verdana" w:eastAsia="Verdana" w:hAnsi="Verdana"/>
          <w:color w:val="202124"/>
          <w:sz w:val="24"/>
          <w:szCs w:val="24"/>
          <w:highlight w:val="white"/>
          <w:rtl w:val="0"/>
        </w:rPr>
        <w:t xml:space="preserve">no caso de ação penal privada o oferecimento da queixa-crime</w:t>
      </w:r>
      <w:commentRangeEnd w:id="1"/>
      <w:r w:rsidDel="00000000" w:rsidR="00000000" w:rsidRPr="00000000">
        <w:commentReference w:id="1"/>
      </w:r>
      <w:r w:rsidDel="00000000" w:rsidR="00000000" w:rsidRPr="00000000">
        <w:rPr>
          <w:rFonts w:ascii="Verdana" w:cs="Verdana" w:eastAsia="Verdana" w:hAnsi="Verdana"/>
          <w:color w:val="202124"/>
          <w:sz w:val="24"/>
          <w:szCs w:val="24"/>
          <w:highlight w:val="white"/>
          <w:rtl w:val="0"/>
        </w:rPr>
        <w:t xml:space="preserve">. </w:t>
      </w:r>
    </w:p>
    <w:p w:rsidR="00000000" w:rsidDel="00000000" w:rsidP="00000000" w:rsidRDefault="00000000" w:rsidRPr="00000000" w14:paraId="000000B9">
      <w:pPr>
        <w:shd w:fill="ffffff" w:val="clear"/>
        <w:spacing w:after="240" w:before="240" w:line="360" w:lineRule="auto"/>
        <w:ind w:firstLine="851"/>
        <w:jc w:val="both"/>
        <w:rPr>
          <w:rFonts w:ascii="Verdana" w:cs="Verdana" w:eastAsia="Verdana" w:hAnsi="Verdana"/>
          <w:color w:val="202124"/>
          <w:sz w:val="20"/>
          <w:szCs w:val="20"/>
          <w:highlight w:val="white"/>
        </w:rPr>
      </w:pPr>
      <w:r w:rsidDel="00000000" w:rsidR="00000000" w:rsidRPr="00000000">
        <w:rPr>
          <w:rFonts w:ascii="Verdana" w:cs="Verdana" w:eastAsia="Verdana" w:hAnsi="Verdana"/>
          <w:color w:val="202124"/>
          <w:sz w:val="24"/>
          <w:szCs w:val="24"/>
          <w:highlight w:val="white"/>
          <w:rtl w:val="0"/>
        </w:rPr>
        <w:t xml:space="preserve">O inquérito policial é presidido pelo delegado de Polícia, como dispõe o artigo 4º do Código de Processo Penal:</w:t>
      </w:r>
      <w:r w:rsidDel="00000000" w:rsidR="00000000" w:rsidRPr="00000000">
        <w:rPr>
          <w:rtl w:val="0"/>
        </w:rPr>
      </w:r>
    </w:p>
    <w:p w:rsidR="00000000" w:rsidDel="00000000" w:rsidP="00000000" w:rsidRDefault="00000000" w:rsidRPr="00000000" w14:paraId="000000BA">
      <w:pPr>
        <w:shd w:fill="ffffff" w:val="clear"/>
        <w:spacing w:after="0" w:before="240" w:line="240" w:lineRule="auto"/>
        <w:ind w:left="2268" w:firstLine="0"/>
        <w:jc w:val="both"/>
        <w:rPr>
          <w:rFonts w:ascii="Verdana" w:cs="Verdana" w:eastAsia="Verdana" w:hAnsi="Verdana"/>
          <w:sz w:val="20"/>
          <w:szCs w:val="20"/>
          <w:highlight w:val="white"/>
        </w:rPr>
      </w:pPr>
      <w:r w:rsidDel="00000000" w:rsidR="00000000" w:rsidRPr="00000000">
        <w:rPr>
          <w:rFonts w:ascii="Verdana" w:cs="Verdana" w:eastAsia="Verdana" w:hAnsi="Verdana"/>
          <w:color w:val="000000"/>
          <w:sz w:val="20"/>
          <w:szCs w:val="20"/>
          <w:highlight w:val="white"/>
          <w:rtl w:val="0"/>
        </w:rPr>
        <w:t xml:space="preserve">Art. 4º A polícia judiciária será exercida pelas autoridades policiais no território de suas respectivas circunscrições e terá por fim a apuração das infrações penais e da sua autoria.</w:t>
      </w:r>
      <w:r w:rsidDel="00000000" w:rsidR="00000000" w:rsidRPr="00000000">
        <w:rPr>
          <w:rFonts w:ascii="Verdana" w:cs="Verdana" w:eastAsia="Verdana" w:hAnsi="Verdana"/>
          <w:color w:val="0000ff"/>
          <w:sz w:val="20"/>
          <w:szCs w:val="20"/>
          <w:highlight w:val="white"/>
          <w:rtl w:val="0"/>
        </w:rPr>
        <w:t xml:space="preserve">               </w:t>
      </w:r>
      <w:hyperlink r:id="rId14">
        <w:r w:rsidDel="00000000" w:rsidR="00000000" w:rsidRPr="00000000">
          <w:rPr>
            <w:rFonts w:ascii="Verdana" w:cs="Verdana" w:eastAsia="Verdana" w:hAnsi="Verdana"/>
            <w:color w:val="000000"/>
            <w:sz w:val="20"/>
            <w:szCs w:val="20"/>
            <w:highlight w:val="white"/>
            <w:u w:val="single"/>
            <w:rtl w:val="0"/>
          </w:rPr>
          <w:t xml:space="preserve">(Redação dada pela Lei nº 9.043, de 9.5.1995)</w:t>
        </w:r>
      </w:hyperlink>
      <w:r w:rsidDel="00000000" w:rsidR="00000000" w:rsidRPr="00000000">
        <w:rPr>
          <w:rtl w:val="0"/>
        </w:rPr>
      </w:r>
    </w:p>
    <w:p w:rsidR="00000000" w:rsidDel="00000000" w:rsidP="00000000" w:rsidRDefault="00000000" w:rsidRPr="00000000" w14:paraId="000000BB">
      <w:pPr>
        <w:shd w:fill="ffffff" w:val="clear"/>
        <w:spacing w:after="0" w:before="240" w:line="360" w:lineRule="auto"/>
        <w:ind w:firstLine="851"/>
        <w:jc w:val="both"/>
        <w:rPr>
          <w:rFonts w:ascii="Verdana" w:cs="Verdana" w:eastAsia="Verdana" w:hAnsi="Verdana"/>
          <w:sz w:val="24"/>
          <w:szCs w:val="24"/>
          <w:highlight w:val="white"/>
        </w:rPr>
      </w:pPr>
      <w:r w:rsidDel="00000000" w:rsidR="00000000" w:rsidRPr="00000000">
        <w:rPr>
          <w:rFonts w:ascii="Verdana" w:cs="Verdana" w:eastAsia="Verdana" w:hAnsi="Verdana"/>
          <w:sz w:val="24"/>
          <w:szCs w:val="24"/>
          <w:highlight w:val="white"/>
          <w:rtl w:val="0"/>
        </w:rPr>
        <w:t xml:space="preserve">A lei nº 12.830 de 20 de junho de 2013, em seu artigo 2º, §1º dispõe sobre a investigação criminal conduzida pelo delegado de polícia, vejamos: </w:t>
      </w:r>
    </w:p>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auto" w:val="clear"/>
        <w:spacing w:after="300" w:before="300" w:line="240" w:lineRule="auto"/>
        <w:ind w:left="2268" w:right="0" w:firstLine="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Art. 2º As funções de polícia judiciária e a apuração de infrações penais exercidas pelo delegado de polícia são de natureza jurídica, essenciais e exclusivas de Estado.</w:t>
      </w:r>
    </w:p>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auto" w:val="clear"/>
        <w:spacing w:after="300" w:before="300" w:line="240" w:lineRule="auto"/>
        <w:ind w:left="2268" w:right="0" w:firstLine="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1º Ao delegado de polícia, na qualidade de autoridade policial, cabe a condução da investigação criminal por meio de inquérito policial ou outro procedimento previsto em lei, que tem como objetivo a apuração das circunstâncias, da materialidade e da autoria das infrações penais.</w:t>
      </w:r>
    </w:p>
    <w:p w:rsidR="00000000" w:rsidDel="00000000" w:rsidP="00000000" w:rsidRDefault="00000000" w:rsidRPr="00000000" w14:paraId="000000BE">
      <w:pPr>
        <w:shd w:fill="ffffff" w:val="clear"/>
        <w:spacing w:after="240" w:before="240" w:line="360" w:lineRule="auto"/>
        <w:ind w:firstLine="851"/>
        <w:jc w:val="both"/>
        <w:rPr>
          <w:rFonts w:ascii="Verdana" w:cs="Verdana" w:eastAsia="Verdana" w:hAnsi="Verdana"/>
          <w:color w:val="202124"/>
          <w:sz w:val="24"/>
          <w:szCs w:val="24"/>
          <w:highlight w:val="white"/>
        </w:rPr>
      </w:pPr>
      <w:r w:rsidDel="00000000" w:rsidR="00000000" w:rsidRPr="00000000">
        <w:rPr>
          <w:rFonts w:ascii="Verdana" w:cs="Verdana" w:eastAsia="Verdana" w:hAnsi="Verdana"/>
          <w:color w:val="202124"/>
          <w:sz w:val="24"/>
          <w:szCs w:val="24"/>
          <w:highlight w:val="white"/>
          <w:rtl w:val="0"/>
        </w:rPr>
        <w:t xml:space="preserve">Também por esse prisma, é o entendimento do respeitável doutrinador Norberto Avena (2021, p. 155), que perfilha o mesmo pensar, ao asseverar que: </w:t>
      </w:r>
    </w:p>
    <w:p w:rsidR="00000000" w:rsidDel="00000000" w:rsidP="00000000" w:rsidRDefault="00000000" w:rsidRPr="00000000" w14:paraId="000000BF">
      <w:pPr>
        <w:shd w:fill="ffffff" w:val="clear"/>
        <w:spacing w:after="240" w:before="240" w:line="240" w:lineRule="auto"/>
        <w:ind w:left="2268" w:firstLine="0"/>
        <w:jc w:val="both"/>
        <w:rPr>
          <w:rFonts w:ascii="Verdana" w:cs="Verdana" w:eastAsia="Verdana" w:hAnsi="Verdana"/>
          <w:color w:val="202124"/>
          <w:sz w:val="20"/>
          <w:szCs w:val="20"/>
          <w:highlight w:val="white"/>
        </w:rPr>
      </w:pPr>
      <w:r w:rsidDel="00000000" w:rsidR="00000000" w:rsidRPr="00000000">
        <w:rPr>
          <w:rFonts w:ascii="Verdana" w:cs="Verdana" w:eastAsia="Verdana" w:hAnsi="Verdana"/>
          <w:color w:val="202124"/>
          <w:sz w:val="20"/>
          <w:szCs w:val="20"/>
          <w:rtl w:val="0"/>
        </w:rPr>
        <w:t xml:space="preserve">Inquérito Policial: Conjunto de diligências realizadas sob a presidência de delegado de polícia de carreira, visando, no aspecto de sua função preparatória, angariar elementos que apontem a autoria e comprovem a materialidade de fato caracterizado como infração penal (fato típico). Veja-se que, na atualidade, parte da doutrina vislumbra no inquérito, também, função preservadora, relacionada ao objetivo de evitar futuras imputações levianas e infundadas.</w:t>
      </w:r>
      <w:r w:rsidDel="00000000" w:rsidR="00000000" w:rsidRPr="00000000">
        <w:rPr>
          <w:rtl w:val="0"/>
        </w:rPr>
      </w:r>
    </w:p>
    <w:p w:rsidR="00000000" w:rsidDel="00000000" w:rsidP="00000000" w:rsidRDefault="00000000" w:rsidRPr="00000000" w14:paraId="000000C0">
      <w:pPr>
        <w:shd w:fill="ffffff" w:val="clear"/>
        <w:spacing w:after="0" w:before="240" w:line="360" w:lineRule="auto"/>
        <w:ind w:firstLine="851"/>
        <w:jc w:val="both"/>
        <w:rPr>
          <w:rFonts w:ascii="Verdana" w:cs="Verdana" w:eastAsia="Verdana" w:hAnsi="Verdana"/>
          <w:color w:val="202124"/>
          <w:sz w:val="24"/>
          <w:szCs w:val="24"/>
          <w:highlight w:val="white"/>
        </w:rPr>
      </w:pPr>
      <w:r w:rsidDel="00000000" w:rsidR="00000000" w:rsidRPr="00000000">
        <w:rPr>
          <w:rFonts w:ascii="Verdana" w:cs="Verdana" w:eastAsia="Verdana" w:hAnsi="Verdana"/>
          <w:sz w:val="24"/>
          <w:szCs w:val="24"/>
          <w:highlight w:val="white"/>
          <w:rtl w:val="0"/>
        </w:rPr>
        <w:t xml:space="preserve">Por se tratar de um procedimento inquisitorial, destinado a colheita de informações necessárias à elucidação de crimes, não possui contraditório e ampla defesa durante o seu curso, </w:t>
      </w:r>
      <w:sdt>
        <w:sdtPr>
          <w:tag w:val="goog_rdk_2"/>
        </w:sdtPr>
        <w:sdtContent>
          <w:commentRangeStart w:id="2"/>
        </w:sdtContent>
      </w:sdt>
      <w:r w:rsidDel="00000000" w:rsidR="00000000" w:rsidRPr="00000000">
        <w:rPr>
          <w:rFonts w:ascii="Verdana" w:cs="Verdana" w:eastAsia="Verdana" w:hAnsi="Verdana"/>
          <w:sz w:val="24"/>
          <w:szCs w:val="24"/>
          <w:highlight w:val="white"/>
          <w:rtl w:val="0"/>
        </w:rPr>
        <w:t xml:space="preserve">sendo facultativa a </w:t>
      </w:r>
      <w:r w:rsidDel="00000000" w:rsidR="00000000" w:rsidRPr="00000000">
        <w:rPr>
          <w:rFonts w:ascii="Verdana" w:cs="Verdana" w:eastAsia="Verdana" w:hAnsi="Verdana"/>
          <w:color w:val="202124"/>
          <w:sz w:val="24"/>
          <w:szCs w:val="24"/>
          <w:highlight w:val="white"/>
          <w:rtl w:val="0"/>
        </w:rPr>
        <w:t xml:space="preserve">presença do advogado, conquanto, o investigado detém o direito de ser informado sobre a possibilidade de ser acompanhado por um profissional técnico.</w:t>
      </w:r>
      <w:commentRangeEnd w:id="2"/>
      <w:r w:rsidDel="00000000" w:rsidR="00000000" w:rsidRPr="00000000">
        <w:commentReference w:id="2"/>
      </w:r>
      <w:r w:rsidDel="00000000" w:rsidR="00000000" w:rsidRPr="00000000">
        <w:rPr>
          <w:rtl w:val="0"/>
        </w:rPr>
      </w:r>
    </w:p>
    <w:p w:rsidR="00000000" w:rsidDel="00000000" w:rsidP="00000000" w:rsidRDefault="00000000" w:rsidRPr="00000000" w14:paraId="000000C1">
      <w:pPr>
        <w:shd w:fill="ffffff" w:val="clear"/>
        <w:spacing w:after="0" w:before="240" w:line="360" w:lineRule="auto"/>
        <w:ind w:firstLine="851"/>
        <w:jc w:val="both"/>
        <w:rPr>
          <w:rFonts w:ascii="Verdana" w:cs="Verdana" w:eastAsia="Verdana" w:hAnsi="Verdana"/>
          <w:color w:val="202124"/>
          <w:sz w:val="24"/>
          <w:szCs w:val="24"/>
          <w:highlight w:val="white"/>
        </w:rPr>
      </w:pPr>
      <w:sdt>
        <w:sdtPr>
          <w:tag w:val="goog_rdk_3"/>
        </w:sdtPr>
        <w:sdtContent>
          <w:commentRangeStart w:id="3"/>
        </w:sdtContent>
      </w:sdt>
      <w:r w:rsidDel="00000000" w:rsidR="00000000" w:rsidRPr="00000000">
        <w:rPr>
          <w:rFonts w:ascii="Verdana" w:cs="Verdana" w:eastAsia="Verdana" w:hAnsi="Verdana"/>
          <w:color w:val="202124"/>
          <w:sz w:val="24"/>
          <w:szCs w:val="24"/>
          <w:highlight w:val="white"/>
          <w:rtl w:val="0"/>
        </w:rPr>
        <w:t xml:space="preserve">Neste sentido, o artigo 5º em seu inciso LV da Constituição Federal de 1988, dispõe:</w:t>
      </w:r>
      <w:commentRangeEnd w:id="3"/>
      <w:r w:rsidDel="00000000" w:rsidR="00000000" w:rsidRPr="00000000">
        <w:commentReference w:id="3"/>
      </w:r>
      <w:r w:rsidDel="00000000" w:rsidR="00000000" w:rsidRPr="00000000">
        <w:rPr>
          <w:rtl w:val="0"/>
        </w:rPr>
      </w:r>
    </w:p>
    <w:p w:rsidR="00000000" w:rsidDel="00000000" w:rsidP="00000000" w:rsidRDefault="00000000" w:rsidRPr="00000000" w14:paraId="000000C2">
      <w:pPr>
        <w:shd w:fill="ffffff" w:val="clear"/>
        <w:spacing w:after="240" w:before="240" w:line="240" w:lineRule="auto"/>
        <w:ind w:left="2268" w:firstLine="0"/>
        <w:jc w:val="both"/>
        <w:rPr>
          <w:rFonts w:ascii="Verdana" w:cs="Verdana" w:eastAsia="Verdana" w:hAnsi="Verdana"/>
          <w:color w:val="000000"/>
          <w:sz w:val="20"/>
          <w:szCs w:val="20"/>
          <w:highlight w:val="white"/>
        </w:rPr>
      </w:pPr>
      <w:r w:rsidDel="00000000" w:rsidR="00000000" w:rsidRPr="00000000">
        <w:rPr>
          <w:rFonts w:ascii="Verdana" w:cs="Verdana" w:eastAsia="Verdana" w:hAnsi="Verdana"/>
          <w:color w:val="000000"/>
          <w:sz w:val="20"/>
          <w:szCs w:val="20"/>
          <w:highlight w:val="white"/>
          <w:rtl w:val="0"/>
        </w:rPr>
        <w:t xml:space="preserve">LV - aos litigantes, em processo judicial ou administrativo, e aos acusados em geral são assegurados o contraditório e ampla defesa, com os meios e recursos a ela inerentes;</w:t>
      </w:r>
    </w:p>
    <w:p w:rsidR="00000000" w:rsidDel="00000000" w:rsidP="00000000" w:rsidRDefault="00000000" w:rsidRPr="00000000" w14:paraId="000000C3">
      <w:pPr>
        <w:shd w:fill="ffffff" w:val="clear"/>
        <w:spacing w:after="240" w:before="240" w:line="360" w:lineRule="auto"/>
        <w:ind w:firstLine="851"/>
        <w:jc w:val="both"/>
        <w:rPr>
          <w:rFonts w:ascii="Verdana" w:cs="Verdana" w:eastAsia="Verdana" w:hAnsi="Verdana"/>
          <w:color w:val="202124"/>
          <w:sz w:val="24"/>
          <w:szCs w:val="24"/>
          <w:highlight w:val="white"/>
        </w:rPr>
      </w:pPr>
      <w:r w:rsidDel="00000000" w:rsidR="00000000" w:rsidRPr="00000000">
        <w:rPr>
          <w:rFonts w:ascii="Verdana" w:cs="Verdana" w:eastAsia="Verdana" w:hAnsi="Verdana"/>
          <w:color w:val="000000"/>
          <w:sz w:val="24"/>
          <w:szCs w:val="24"/>
          <w:highlight w:val="white"/>
          <w:rtl w:val="0"/>
        </w:rPr>
        <w:t xml:space="preserve">Embora o artigo da </w:t>
      </w:r>
      <w:sdt>
        <w:sdtPr>
          <w:tag w:val="goog_rdk_4"/>
        </w:sdtPr>
        <w:sdtContent>
          <w:commentRangeStart w:id="4"/>
        </w:sdtContent>
      </w:sdt>
      <w:r w:rsidDel="00000000" w:rsidR="00000000" w:rsidRPr="00000000">
        <w:rPr>
          <w:rFonts w:ascii="Verdana" w:cs="Verdana" w:eastAsia="Verdana" w:hAnsi="Verdana"/>
          <w:color w:val="000000"/>
          <w:sz w:val="24"/>
          <w:szCs w:val="24"/>
          <w:highlight w:val="white"/>
          <w:rtl w:val="0"/>
        </w:rPr>
        <w:t xml:space="preserve">Magna Carta</w:t>
      </w:r>
      <w:commentRangeEnd w:id="4"/>
      <w:r w:rsidDel="00000000" w:rsidR="00000000" w:rsidRPr="00000000">
        <w:commentReference w:id="4"/>
      </w:r>
      <w:r w:rsidDel="00000000" w:rsidR="00000000" w:rsidRPr="00000000">
        <w:rPr>
          <w:rFonts w:ascii="Verdana" w:cs="Verdana" w:eastAsia="Verdana" w:hAnsi="Verdana"/>
          <w:color w:val="000000"/>
          <w:sz w:val="24"/>
          <w:szCs w:val="24"/>
          <w:highlight w:val="white"/>
          <w:rtl w:val="0"/>
        </w:rPr>
        <w:t xml:space="preserve"> acima mencionado </w:t>
      </w:r>
      <w:sdt>
        <w:sdtPr>
          <w:tag w:val="goog_rdk_5"/>
        </w:sdtPr>
        <w:sdtContent>
          <w:commentRangeStart w:id="5"/>
        </w:sdtContent>
      </w:sdt>
      <w:r w:rsidDel="00000000" w:rsidR="00000000" w:rsidRPr="00000000">
        <w:rPr>
          <w:rFonts w:ascii="Verdana" w:cs="Verdana" w:eastAsia="Verdana" w:hAnsi="Verdana"/>
          <w:color w:val="000000"/>
          <w:sz w:val="24"/>
          <w:szCs w:val="24"/>
          <w:highlight w:val="white"/>
          <w:rtl w:val="0"/>
        </w:rPr>
        <w:t xml:space="preserve">garante</w:t>
      </w:r>
      <w:commentRangeEnd w:id="5"/>
      <w:r w:rsidDel="00000000" w:rsidR="00000000" w:rsidRPr="00000000">
        <w:commentReference w:id="5"/>
      </w:r>
      <w:r w:rsidDel="00000000" w:rsidR="00000000" w:rsidRPr="00000000">
        <w:rPr>
          <w:rFonts w:ascii="Verdana" w:cs="Verdana" w:eastAsia="Verdana" w:hAnsi="Verdana"/>
          <w:color w:val="000000"/>
          <w:sz w:val="24"/>
          <w:szCs w:val="24"/>
          <w:highlight w:val="white"/>
          <w:rtl w:val="0"/>
        </w:rPr>
        <w:t xml:space="preserve"> o contraditório e a ampla defesa aos acusados, na fase de inquérito policial não há que se falar em processo, pois é fase preliminar à denúncia, não havendo partes. Contudo, o advogado possui acesso amplo ao inquérito policial desde que já documentado. </w:t>
      </w:r>
      <w:r w:rsidDel="00000000" w:rsidR="00000000" w:rsidRPr="00000000">
        <w:rPr>
          <w:rtl w:val="0"/>
        </w:rPr>
      </w:r>
    </w:p>
    <w:p w:rsidR="00000000" w:rsidDel="00000000" w:rsidP="00000000" w:rsidRDefault="00000000" w:rsidRPr="00000000" w14:paraId="000000C4">
      <w:pPr>
        <w:shd w:fill="ffffff" w:val="clear"/>
        <w:spacing w:after="240" w:before="240" w:line="360" w:lineRule="auto"/>
        <w:ind w:firstLine="851"/>
        <w:jc w:val="both"/>
        <w:rPr>
          <w:rFonts w:ascii="Verdana" w:cs="Verdana" w:eastAsia="Verdana" w:hAnsi="Verdana"/>
          <w:color w:val="202124"/>
          <w:sz w:val="24"/>
          <w:szCs w:val="24"/>
          <w:highlight w:val="white"/>
        </w:rPr>
      </w:pPr>
      <w:r w:rsidDel="00000000" w:rsidR="00000000" w:rsidRPr="00000000">
        <w:rPr>
          <w:rFonts w:ascii="Verdana" w:cs="Verdana" w:eastAsia="Verdana" w:hAnsi="Verdana"/>
          <w:color w:val="202124"/>
          <w:sz w:val="24"/>
          <w:szCs w:val="24"/>
          <w:highlight w:val="white"/>
          <w:rtl w:val="0"/>
        </w:rPr>
        <w:t xml:space="preserve">Com a inclusão pela Lei nº 13.245 de 2016 do inciso XXI, no artigo 7º alterando a Lei nº 8.906 de 4 de julho de 1994 (Estatuto da Ordem dos Advogados do Brasil), restou estabelecido o direito do advogado em assistir seus clientes investigados durante a apuração de infrações, consideremos:</w:t>
      </w:r>
    </w:p>
    <w:p w:rsidR="00000000" w:rsidDel="00000000" w:rsidP="00000000" w:rsidRDefault="00000000" w:rsidRPr="00000000" w14:paraId="000000C5">
      <w:pPr>
        <w:shd w:fill="ffffff" w:val="clear"/>
        <w:spacing w:after="0" w:before="240" w:line="240" w:lineRule="auto"/>
        <w:ind w:left="2268" w:firstLine="0"/>
        <w:jc w:val="both"/>
        <w:rPr>
          <w:rFonts w:ascii="Verdana" w:cs="Verdana" w:eastAsia="Verdana" w:hAnsi="Verdana"/>
          <w:color w:val="000000"/>
          <w:sz w:val="20"/>
          <w:szCs w:val="20"/>
          <w:highlight w:val="white"/>
        </w:rPr>
      </w:pPr>
      <w:r w:rsidDel="00000000" w:rsidR="00000000" w:rsidRPr="00000000">
        <w:rPr>
          <w:rFonts w:ascii="Verdana" w:cs="Verdana" w:eastAsia="Verdana" w:hAnsi="Verdana"/>
          <w:color w:val="000000"/>
          <w:sz w:val="20"/>
          <w:szCs w:val="20"/>
          <w:highlight w:val="white"/>
          <w:rtl w:val="0"/>
        </w:rPr>
        <w:t xml:space="preserve">Art. 7º São direitos do advogado:</w:t>
      </w:r>
    </w:p>
    <w:p w:rsidR="00000000" w:rsidDel="00000000" w:rsidP="00000000" w:rsidRDefault="00000000" w:rsidRPr="00000000" w14:paraId="000000C6">
      <w:pPr>
        <w:shd w:fill="ffffff" w:val="clear"/>
        <w:spacing w:after="0" w:before="240" w:line="240" w:lineRule="auto"/>
        <w:ind w:left="2268" w:firstLine="0"/>
        <w:jc w:val="both"/>
        <w:rPr>
          <w:rFonts w:ascii="Verdana" w:cs="Verdana" w:eastAsia="Verdana" w:hAnsi="Verdana"/>
          <w:color w:val="202124"/>
          <w:sz w:val="20"/>
          <w:szCs w:val="20"/>
          <w:highlight w:val="white"/>
        </w:rPr>
      </w:pPr>
      <w:hyperlink r:id="rId15">
        <w:r w:rsidDel="00000000" w:rsidR="00000000" w:rsidRPr="00000000">
          <w:rPr>
            <w:rFonts w:ascii="Verdana" w:cs="Verdana" w:eastAsia="Verdana" w:hAnsi="Verdana"/>
            <w:color w:val="000000"/>
            <w:sz w:val="20"/>
            <w:szCs w:val="20"/>
            <w:u w:val="single"/>
            <w:rtl w:val="0"/>
          </w:rPr>
          <w:t xml:space="preserve">XXI -</w:t>
        </w:r>
      </w:hyperlink>
      <w:hyperlink r:id="rId16">
        <w:r w:rsidDel="00000000" w:rsidR="00000000" w:rsidRPr="00000000">
          <w:rPr>
            <w:rFonts w:ascii="Verdana" w:cs="Verdana" w:eastAsia="Verdana" w:hAnsi="Verdana"/>
            <w:color w:val="0000ff"/>
            <w:sz w:val="20"/>
            <w:szCs w:val="20"/>
            <w:u w:val="single"/>
            <w:rtl w:val="0"/>
          </w:rPr>
          <w:t xml:space="preserve"> </w:t>
        </w:r>
      </w:hyperlink>
      <w:r w:rsidDel="00000000" w:rsidR="00000000" w:rsidRPr="00000000">
        <w:rPr>
          <w:rFonts w:ascii="Verdana" w:cs="Verdana" w:eastAsia="Verdana" w:hAnsi="Verdana"/>
          <w:color w:val="000000"/>
          <w:sz w:val="20"/>
          <w:szCs w:val="20"/>
          <w:rtl w:val="0"/>
        </w:rPr>
        <w:t xml:space="preserve">assistir a seus clientes investigados durante a apuração de infrações, sob pena de nulidade absoluta do respectivo interrogatório ou depoimento e, subsequentemente, de todos os elementos investigatórios e probatórios dele decorrentes ou derivados, direta ou indiretamente, podendo, inclusive, no curso da respectiva apuração</w:t>
      </w:r>
      <w:r w:rsidDel="00000000" w:rsidR="00000000" w:rsidRPr="00000000">
        <w:rPr>
          <w:rFonts w:ascii="Verdana" w:cs="Verdana" w:eastAsia="Verdana" w:hAnsi="Verdana"/>
          <w:color w:val="202124"/>
          <w:sz w:val="20"/>
          <w:szCs w:val="20"/>
          <w:highlight w:val="white"/>
          <w:rtl w:val="0"/>
        </w:rPr>
        <w:t xml:space="preserve">.</w:t>
      </w:r>
    </w:p>
    <w:p w:rsidR="00000000" w:rsidDel="00000000" w:rsidP="00000000" w:rsidRDefault="00000000" w:rsidRPr="00000000" w14:paraId="000000C7">
      <w:pPr>
        <w:shd w:fill="ffffff" w:val="clear"/>
        <w:spacing w:after="240" w:before="240" w:line="276" w:lineRule="auto"/>
        <w:ind w:firstLine="851"/>
        <w:jc w:val="both"/>
        <w:rPr>
          <w:rFonts w:ascii="Verdana" w:cs="Verdana" w:eastAsia="Verdana" w:hAnsi="Verdana"/>
          <w:color w:val="202124"/>
          <w:sz w:val="24"/>
          <w:szCs w:val="24"/>
          <w:highlight w:val="white"/>
        </w:rPr>
      </w:pPr>
      <w:r w:rsidDel="00000000" w:rsidR="00000000" w:rsidRPr="00000000">
        <w:rPr>
          <w:rFonts w:ascii="Verdana" w:cs="Verdana" w:eastAsia="Verdana" w:hAnsi="Verdana"/>
          <w:color w:val="202124"/>
          <w:sz w:val="24"/>
          <w:szCs w:val="24"/>
          <w:highlight w:val="white"/>
          <w:rtl w:val="0"/>
        </w:rPr>
        <w:t xml:space="preserve">Não obstante, e ainda neste sentido, para Norberto Avena (2021, p.156):</w:t>
      </w:r>
    </w:p>
    <w:p w:rsidR="00000000" w:rsidDel="00000000" w:rsidP="00000000" w:rsidRDefault="00000000" w:rsidRPr="00000000" w14:paraId="000000C8">
      <w:pPr>
        <w:shd w:fill="ffffff" w:val="clear"/>
        <w:spacing w:after="240" w:before="240" w:line="240" w:lineRule="auto"/>
        <w:ind w:left="2268" w:firstLine="0"/>
        <w:jc w:val="both"/>
        <w:rPr>
          <w:rFonts w:ascii="Verdana" w:cs="Verdana" w:eastAsia="Verdana" w:hAnsi="Verdana"/>
          <w:color w:val="202124"/>
          <w:sz w:val="20"/>
          <w:szCs w:val="20"/>
        </w:rPr>
      </w:pPr>
      <w:r w:rsidDel="00000000" w:rsidR="00000000" w:rsidRPr="00000000">
        <w:rPr>
          <w:rFonts w:ascii="Verdana" w:cs="Verdana" w:eastAsia="Verdana" w:hAnsi="Verdana"/>
          <w:color w:val="202124"/>
          <w:sz w:val="20"/>
          <w:szCs w:val="20"/>
          <w:rtl w:val="0"/>
        </w:rPr>
        <w:t xml:space="preserve">Sem embargo desta conclusão, deve-se mencionar que, com a edição da Lei 13.245/2016, parte da doutrina passou a questionar a subsistência da natureza inquisitorial do inquérito. É que esse diploma legal, alterando o art. 7.º, XXI, do Estatuto da Advocacia (Lei 8.906/1994), estabeleceu o direito do advogado em “assistir seus clientes investigados durante a apuração de infrações, sob pena de nulidade absoluta do respectivo interrogatório ou depoimento e, subsequentemente, de todos os elementos investigatórios e probatórios dele decorrentes ou derivados, direta ou indiretamente, podendo, inclusive, no curso da respectiva apuração: a) apresentar razões e quesitos”. Equivocada, a nosso ver, essa linha de pensamento, pois a alteração determinada pela Lei 13.245/2016 incidiu apenas sobre o Estatuto da Advocacia, contemplando como direito do advogado o de assistir o investigado no curso da investigação criminal (inquérito policial, investigação do Ministério Público etc.). O legislador não alterou, portanto, o Código de Processo Penal ou qualquer outra lei processual penal especial, o que teria providenciado caso fosse sua intenção a de assegurar ampla defesa e contraditório na fase investigativa. Na verdade, a importância maior da Lei 13.245/2016 não está em garantir ao investigado o direito de ser assistido por advogado durante a investigação, mas sim em assegurar a prerrogativa do seu advogado em realizar essa assistência, estabelecendo a nulidade do ato da autoridade policial que de qualquer modo obstá-la. E não contradiz esse entendimento – o de que persiste a natureza inquisitorial do inquérito – a possibilidade conferida ao causídico pelo art. 7.º, XXI, alínea a, da Lei 8.906/1994 de “apresentar razões e quesitos”. Isso, repita-se, é uma faculdade apenas, que deve ser exercida espontaneamente pelo advogado, caso entenda necessário.</w:t>
      </w:r>
    </w:p>
    <w:p w:rsidR="00000000" w:rsidDel="00000000" w:rsidP="00000000" w:rsidRDefault="00000000" w:rsidRPr="00000000" w14:paraId="000000C9">
      <w:pPr>
        <w:shd w:fill="ffffff" w:val="clear"/>
        <w:spacing w:after="240" w:before="240" w:line="360" w:lineRule="auto"/>
        <w:ind w:firstLine="851"/>
        <w:jc w:val="both"/>
        <w:rPr>
          <w:rFonts w:ascii="Verdana" w:cs="Verdana" w:eastAsia="Verdana" w:hAnsi="Verdana"/>
          <w:color w:val="202124"/>
          <w:sz w:val="24"/>
          <w:szCs w:val="24"/>
        </w:rPr>
      </w:pPr>
      <w:r w:rsidDel="00000000" w:rsidR="00000000" w:rsidRPr="00000000">
        <w:rPr>
          <w:rFonts w:ascii="Verdana" w:cs="Verdana" w:eastAsia="Verdana" w:hAnsi="Verdana"/>
          <w:color w:val="202124"/>
          <w:sz w:val="24"/>
          <w:szCs w:val="24"/>
          <w:rtl w:val="0"/>
        </w:rPr>
        <w:t xml:space="preserve">O inquérito policial é dispensável, não sendo peça vinculada à denúncia, seu conteúdo é meramente informativo, não possuindo finalidade punitiva, mas apenas investigativa, </w:t>
      </w:r>
      <w:sdt>
        <w:sdtPr>
          <w:tag w:val="goog_rdk_6"/>
        </w:sdtPr>
        <w:sdtContent>
          <w:commentRangeStart w:id="6"/>
        </w:sdtContent>
      </w:sdt>
      <w:r w:rsidDel="00000000" w:rsidR="00000000" w:rsidRPr="00000000">
        <w:rPr>
          <w:rFonts w:ascii="Verdana" w:cs="Verdana" w:eastAsia="Verdana" w:hAnsi="Verdana"/>
          <w:color w:val="202124"/>
          <w:sz w:val="24"/>
          <w:szCs w:val="24"/>
          <w:rtl w:val="0"/>
        </w:rPr>
        <w:t xml:space="preserve">o artigo 39 do Código de Processo Penal em seu parágrafo 5º, dispõe que o Ministério Público ou o ofendido que já dispôs dos elementos necessários ao oferecimento da denúncia ou queixa-crime, poderá dispensar o procedimento policial sem que isto cause qualquer prejuízo:</w:t>
      </w:r>
      <w:commentRangeEnd w:id="6"/>
      <w:r w:rsidDel="00000000" w:rsidR="00000000" w:rsidRPr="00000000">
        <w:commentReference w:id="6"/>
      </w:r>
      <w:r w:rsidDel="00000000" w:rsidR="00000000" w:rsidRPr="00000000">
        <w:rPr>
          <w:rtl w:val="0"/>
        </w:rPr>
      </w:r>
    </w:p>
    <w:p w:rsidR="00000000" w:rsidDel="00000000" w:rsidP="00000000" w:rsidRDefault="00000000" w:rsidRPr="00000000" w14:paraId="000000CA">
      <w:pPr>
        <w:shd w:fill="ffffff" w:val="clear"/>
        <w:spacing w:after="240" w:before="240" w:line="240" w:lineRule="auto"/>
        <w:ind w:left="2268" w:firstLine="0"/>
        <w:jc w:val="both"/>
        <w:rPr>
          <w:rFonts w:ascii="Verdana" w:cs="Verdana" w:eastAsia="Verdana" w:hAnsi="Verdana"/>
          <w:color w:val="000000"/>
          <w:sz w:val="20"/>
          <w:szCs w:val="20"/>
          <w:highlight w:val="white"/>
        </w:rPr>
      </w:pPr>
      <w:r w:rsidDel="00000000" w:rsidR="00000000" w:rsidRPr="00000000">
        <w:rPr>
          <w:rFonts w:ascii="Verdana" w:cs="Verdana" w:eastAsia="Verdana" w:hAnsi="Verdana"/>
          <w:color w:val="000000"/>
          <w:sz w:val="20"/>
          <w:szCs w:val="20"/>
          <w:highlight w:val="white"/>
          <w:rtl w:val="0"/>
        </w:rPr>
        <w:t xml:space="preserve">Art. 39.  O direito de representação poderá ser exercido, pessoalmente ou por procurador com poderes especiais, mediante declaração, escrita ou oral, feita ao juiz, ao órgão do Ministério Público, ou à autoridade policial.</w:t>
      </w:r>
    </w:p>
    <w:p w:rsidR="00000000" w:rsidDel="00000000" w:rsidP="00000000" w:rsidRDefault="00000000" w:rsidRPr="00000000" w14:paraId="000000CB">
      <w:pPr>
        <w:shd w:fill="ffffff" w:val="clear"/>
        <w:spacing w:after="240" w:before="240" w:line="360" w:lineRule="auto"/>
        <w:ind w:firstLine="851"/>
        <w:jc w:val="both"/>
        <w:rPr>
          <w:rFonts w:ascii="Verdana" w:cs="Verdana" w:eastAsia="Verdana" w:hAnsi="Verdana"/>
          <w:color w:val="000000"/>
          <w:sz w:val="24"/>
          <w:szCs w:val="24"/>
          <w:highlight w:val="white"/>
        </w:rPr>
      </w:pPr>
      <w:r w:rsidDel="00000000" w:rsidR="00000000" w:rsidRPr="00000000">
        <w:rPr>
          <w:rFonts w:ascii="Verdana" w:cs="Verdana" w:eastAsia="Verdana" w:hAnsi="Verdana"/>
          <w:color w:val="000000"/>
          <w:sz w:val="24"/>
          <w:szCs w:val="24"/>
          <w:highlight w:val="white"/>
          <w:rtl w:val="0"/>
        </w:rPr>
        <w:t xml:space="preserve">O artigo 46, § 1º do CPP, também dispõe sobre dispensabilidade do inquérito policial:</w:t>
      </w:r>
    </w:p>
    <w:p w:rsidR="00000000" w:rsidDel="00000000" w:rsidP="00000000" w:rsidRDefault="00000000" w:rsidRPr="00000000" w14:paraId="000000CC">
      <w:pPr>
        <w:shd w:fill="ffffff" w:val="clear"/>
        <w:spacing w:after="240" w:before="240" w:line="240" w:lineRule="auto"/>
        <w:ind w:left="2268" w:firstLine="0"/>
        <w:jc w:val="both"/>
        <w:rPr>
          <w:rFonts w:ascii="Verdana" w:cs="Verdana" w:eastAsia="Verdana" w:hAnsi="Verdana"/>
          <w:color w:val="000000"/>
          <w:sz w:val="20"/>
          <w:szCs w:val="20"/>
          <w:highlight w:val="white"/>
        </w:rPr>
      </w:pPr>
      <w:r w:rsidDel="00000000" w:rsidR="00000000" w:rsidRPr="00000000">
        <w:rPr>
          <w:rFonts w:ascii="Verdana" w:cs="Verdana" w:eastAsia="Verdana" w:hAnsi="Verdana"/>
          <w:color w:val="000000"/>
          <w:sz w:val="20"/>
          <w:szCs w:val="20"/>
          <w:highlight w:val="white"/>
          <w:rtl w:val="0"/>
        </w:rPr>
        <w:t xml:space="preserve">Art. 46.  O prazo para oferecimento da denúncia, estando o réu preso, será de 5 dias, contado da data em que o órgão do Ministério Público receber os autos do inquérito policial, e de 15 dias, se o réu estiver solto ou afiançado. No último caso, se houver devolução do inquérito à autoridade policial (</w:t>
      </w:r>
      <w:hyperlink r:id="rId17">
        <w:r w:rsidDel="00000000" w:rsidR="00000000" w:rsidRPr="00000000">
          <w:rPr>
            <w:rFonts w:ascii="Verdana" w:cs="Verdana" w:eastAsia="Verdana" w:hAnsi="Verdana"/>
            <w:color w:val="000000"/>
            <w:sz w:val="20"/>
            <w:szCs w:val="20"/>
            <w:highlight w:val="white"/>
            <w:u w:val="single"/>
            <w:rtl w:val="0"/>
          </w:rPr>
          <w:t xml:space="preserve">art. 16</w:t>
        </w:r>
      </w:hyperlink>
      <w:r w:rsidDel="00000000" w:rsidR="00000000" w:rsidRPr="00000000">
        <w:rPr>
          <w:rFonts w:ascii="Verdana" w:cs="Verdana" w:eastAsia="Verdana" w:hAnsi="Verdana"/>
          <w:sz w:val="20"/>
          <w:szCs w:val="20"/>
          <w:highlight w:val="white"/>
          <w:rtl w:val="0"/>
        </w:rPr>
        <w:t xml:space="preserve">), </w:t>
      </w:r>
      <w:r w:rsidDel="00000000" w:rsidR="00000000" w:rsidRPr="00000000">
        <w:rPr>
          <w:rFonts w:ascii="Verdana" w:cs="Verdana" w:eastAsia="Verdana" w:hAnsi="Verdana"/>
          <w:color w:val="000000"/>
          <w:sz w:val="20"/>
          <w:szCs w:val="20"/>
          <w:highlight w:val="white"/>
          <w:rtl w:val="0"/>
        </w:rPr>
        <w:t xml:space="preserve">contar-se-á o prazo da data em que o órgão do Ministério Público receber novamente os autos.</w:t>
      </w:r>
    </w:p>
    <w:p w:rsidR="00000000" w:rsidDel="00000000" w:rsidP="00000000" w:rsidRDefault="00000000" w:rsidRPr="00000000" w14:paraId="000000CD">
      <w:pPr>
        <w:shd w:fill="ffffff" w:val="clear"/>
        <w:spacing w:after="240" w:before="240" w:line="240" w:lineRule="auto"/>
        <w:ind w:left="2268" w:firstLine="0"/>
        <w:jc w:val="both"/>
        <w:rPr>
          <w:rFonts w:ascii="Verdana" w:cs="Verdana" w:eastAsia="Verdana" w:hAnsi="Verdana"/>
          <w:color w:val="000000"/>
          <w:sz w:val="20"/>
          <w:szCs w:val="20"/>
          <w:highlight w:val="white"/>
        </w:rPr>
      </w:pPr>
      <w:r w:rsidDel="00000000" w:rsidR="00000000" w:rsidRPr="00000000">
        <w:rPr>
          <w:rFonts w:ascii="Verdana" w:cs="Verdana" w:eastAsia="Verdana" w:hAnsi="Verdana"/>
          <w:color w:val="000000"/>
          <w:sz w:val="20"/>
          <w:szCs w:val="20"/>
          <w:highlight w:val="white"/>
          <w:rtl w:val="0"/>
        </w:rPr>
        <w:t xml:space="preserve">§ 1</w:t>
      </w:r>
      <w:r w:rsidDel="00000000" w:rsidR="00000000" w:rsidRPr="00000000">
        <w:rPr>
          <w:rFonts w:ascii="Verdana" w:cs="Verdana" w:eastAsia="Verdana" w:hAnsi="Verdana"/>
          <w:color w:val="000000"/>
          <w:sz w:val="20"/>
          <w:szCs w:val="20"/>
          <w:highlight w:val="white"/>
          <w:u w:val="single"/>
          <w:vertAlign w:val="superscript"/>
          <w:rtl w:val="0"/>
        </w:rPr>
        <w:t xml:space="preserve">o</w:t>
      </w:r>
      <w:r w:rsidDel="00000000" w:rsidR="00000000" w:rsidRPr="00000000">
        <w:rPr>
          <w:rFonts w:ascii="Verdana" w:cs="Verdana" w:eastAsia="Verdana" w:hAnsi="Verdana"/>
          <w:color w:val="000000"/>
          <w:sz w:val="20"/>
          <w:szCs w:val="20"/>
          <w:highlight w:val="white"/>
          <w:rtl w:val="0"/>
        </w:rPr>
        <w:t xml:space="preserve"> Quando o Ministério Público dispensar o inquérito policial, o prazo para o oferecimento da denúncia contar-se-á da data em que tiver recebido as peças de informações ou a representação</w:t>
      </w:r>
    </w:p>
    <w:p w:rsidR="00000000" w:rsidDel="00000000" w:rsidP="00000000" w:rsidRDefault="00000000" w:rsidRPr="00000000" w14:paraId="000000CE">
      <w:pPr>
        <w:shd w:fill="ffffff" w:val="clear"/>
        <w:spacing w:after="240" w:before="240" w:line="360" w:lineRule="auto"/>
        <w:ind w:firstLine="851"/>
        <w:jc w:val="both"/>
        <w:rPr>
          <w:rFonts w:ascii="Verdana" w:cs="Verdana" w:eastAsia="Verdana" w:hAnsi="Verdana"/>
          <w:sz w:val="24"/>
          <w:szCs w:val="24"/>
        </w:rPr>
      </w:pPr>
      <w:r w:rsidDel="00000000" w:rsidR="00000000" w:rsidRPr="00000000">
        <w:rPr>
          <w:rFonts w:ascii="Verdana" w:cs="Verdana" w:eastAsia="Verdana" w:hAnsi="Verdana"/>
          <w:sz w:val="24"/>
          <w:szCs w:val="24"/>
          <w:highlight w:val="white"/>
          <w:rtl w:val="0"/>
        </w:rPr>
        <w:t xml:space="preserve">Neste sentido, </w:t>
      </w:r>
      <w:r w:rsidDel="00000000" w:rsidR="00000000" w:rsidRPr="00000000">
        <w:rPr>
          <w:rFonts w:ascii="Verdana" w:cs="Verdana" w:eastAsia="Verdana" w:hAnsi="Verdana"/>
          <w:color w:val="202124"/>
          <w:sz w:val="24"/>
          <w:szCs w:val="24"/>
          <w:highlight w:val="white"/>
          <w:rtl w:val="0"/>
        </w:rPr>
        <w:t xml:space="preserve">Norberto Avena (2021, p.149):</w:t>
      </w:r>
      <w:r w:rsidDel="00000000" w:rsidR="00000000" w:rsidRPr="00000000">
        <w:rPr>
          <w:rtl w:val="0"/>
        </w:rPr>
      </w:r>
    </w:p>
    <w:p w:rsidR="00000000" w:rsidDel="00000000" w:rsidP="00000000" w:rsidRDefault="00000000" w:rsidRPr="00000000" w14:paraId="000000CF">
      <w:pPr>
        <w:shd w:fill="ffffff" w:val="clear"/>
        <w:spacing w:after="240" w:before="240" w:line="240" w:lineRule="auto"/>
        <w:ind w:left="2268" w:firstLine="0"/>
        <w:jc w:val="both"/>
        <w:rPr>
          <w:rFonts w:ascii="Verdana" w:cs="Verdana" w:eastAsia="Verdana" w:hAnsi="Verdana"/>
          <w:color w:val="202124"/>
          <w:sz w:val="20"/>
          <w:szCs w:val="20"/>
        </w:rPr>
      </w:pPr>
      <w:r w:rsidDel="00000000" w:rsidR="00000000" w:rsidRPr="00000000">
        <w:rPr>
          <w:rFonts w:ascii="Verdana" w:cs="Verdana" w:eastAsia="Verdana" w:hAnsi="Verdana"/>
          <w:color w:val="202124"/>
          <w:sz w:val="20"/>
          <w:szCs w:val="20"/>
          <w:rtl w:val="0"/>
        </w:rPr>
        <w:t xml:space="preserve">O inquérito policial não é imprescindível ao ajuizamento da ação penal. Na medida em que seu conteúdo é meramente informativo, se já dispuserem o Ministério Público (na ação penal pública) ou o ofendido (na ação penal privada) dos elementos necessários ao oferecimento da denúncia ou queixa-crime (indícios de autoria e prova da materialidade do fato), poderá ser dispensado o procedimento policial sem que isto importe qualquer irregularidade (arts. 39, § 5.º, e 46, § 1.º, do CPP).</w:t>
      </w:r>
    </w:p>
    <w:p w:rsidR="00000000" w:rsidDel="00000000" w:rsidP="00000000" w:rsidRDefault="00000000" w:rsidRPr="00000000" w14:paraId="000000D0">
      <w:pPr>
        <w:shd w:fill="ffffff" w:val="clear"/>
        <w:spacing w:after="240" w:before="240" w:line="360" w:lineRule="auto"/>
        <w:ind w:firstLine="850"/>
        <w:jc w:val="both"/>
        <w:rPr>
          <w:rFonts w:ascii="Verdana" w:cs="Verdana" w:eastAsia="Verdana" w:hAnsi="Verdana"/>
          <w:sz w:val="24"/>
          <w:szCs w:val="24"/>
          <w:highlight w:val="white"/>
        </w:rPr>
      </w:pPr>
      <w:r w:rsidDel="00000000" w:rsidR="00000000" w:rsidRPr="00000000">
        <w:rPr>
          <w:rFonts w:ascii="Verdana" w:cs="Verdana" w:eastAsia="Verdana" w:hAnsi="Verdana"/>
          <w:sz w:val="24"/>
          <w:szCs w:val="24"/>
          <w:highlight w:val="white"/>
          <w:rtl w:val="0"/>
        </w:rPr>
        <w:t xml:space="preserve">Segundo o entendimento do Superior Tribunal de Justiça sobre o assunto, a jurisprudência que exalta a dispensabilidade do </w:t>
      </w:r>
      <w:sdt>
        <w:sdtPr>
          <w:tag w:val="goog_rdk_7"/>
        </w:sdtPr>
        <w:sdtContent>
          <w:commentRangeStart w:id="7"/>
        </w:sdtContent>
      </w:sdt>
      <w:r w:rsidDel="00000000" w:rsidR="00000000" w:rsidRPr="00000000">
        <w:rPr>
          <w:rFonts w:ascii="Verdana" w:cs="Verdana" w:eastAsia="Verdana" w:hAnsi="Verdana"/>
          <w:sz w:val="24"/>
          <w:szCs w:val="24"/>
          <w:highlight w:val="white"/>
          <w:rtl w:val="0"/>
        </w:rPr>
        <w:t xml:space="preserve">inquérito penal </w:t>
      </w:r>
      <w:commentRangeEnd w:id="7"/>
      <w:r w:rsidDel="00000000" w:rsidR="00000000" w:rsidRPr="00000000">
        <w:commentReference w:id="7"/>
      </w:r>
      <w:r w:rsidDel="00000000" w:rsidR="00000000" w:rsidRPr="00000000">
        <w:rPr>
          <w:rFonts w:ascii="Verdana" w:cs="Verdana" w:eastAsia="Verdana" w:hAnsi="Verdana"/>
          <w:sz w:val="24"/>
          <w:szCs w:val="24"/>
          <w:highlight w:val="white"/>
          <w:rtl w:val="0"/>
        </w:rPr>
        <w:t xml:space="preserve">para a propositura da ação penal:</w:t>
      </w:r>
    </w:p>
    <w:p w:rsidR="00000000" w:rsidDel="00000000" w:rsidP="00000000" w:rsidRDefault="00000000" w:rsidRPr="00000000" w14:paraId="000000D1">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240" w:lineRule="auto"/>
        <w:ind w:left="2268" w:right="0" w:firstLine="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PROCESSUAL PENAL. RECURSO ESPECIAL. ART. 1º, I, DO DECRETO-LEI N.º 201/67. DENÚNCIA OFERECIDA COM BASE EM INQUÉRITO CIVIL PÚBLICO.DISPENSABILIDADE DO INQUÉRITO POLICIAL. POSSIBILIDADE. A ordem jurídica confere explicitamente poderes de investigação ao Ministério Público - art. 8º, incisos II e IV, e § 2º, da Lei Complementar nº 75/1993. Muito embora seja defeso ao Ministério Público presidir o inquérito policial propriamente dito, a competência investigatória da Polícia Judiciária não exclui a de outras autoridades administrativas, dentre as quais, a do Parquet, que nos termos do art. 100, § 1º do Estatuto Repressivo, é o titular da ação penal, ratio essendi do procedimento investigatório preliminar. Por outro lado, o inquérito policial, por ser peça meramente informativa, não é pressuposto necessário para a propositura da ação penal, podendo essa ser embasada em outros elementos hábeis a formar a opinio delicti de seu titular, como a Ação Civil Pública, por exemplo. Se até o particular pode juntar peças obter declarações etc., é evidente que o Parquet também pode. Além do mais, até mesmo uma investigação administrativa pode, eventualmente, supedanear uma denúncia. (Precedentes desta Corte e do Pretório Excelso). Recurso provido.</w:t>
      </w:r>
    </w:p>
    <w:p w:rsidR="00000000" w:rsidDel="00000000" w:rsidP="00000000" w:rsidRDefault="00000000" w:rsidRPr="00000000" w14:paraId="000000D2">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240" w:lineRule="auto"/>
        <w:ind w:left="2268" w:right="0" w:firstLine="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(STJ - REsp: 649594 GO 2004/0054700-5, Relator: Ministro FELIX FISCHER, Data de Julgamento: 16/09/2004, T5 - QUINTA TURMA, Data de Publicação: DJ 11/10/2004 p. 379)</w:t>
      </w:r>
    </w:p>
    <w:p w:rsidR="00000000" w:rsidDel="00000000" w:rsidP="00000000" w:rsidRDefault="00000000" w:rsidRPr="00000000" w14:paraId="000000D3">
      <w:pPr>
        <w:shd w:fill="ffffff" w:val="clear"/>
        <w:spacing w:after="240" w:before="240" w:line="360" w:lineRule="auto"/>
        <w:ind w:firstLine="851"/>
        <w:jc w:val="both"/>
        <w:rPr>
          <w:rFonts w:ascii="Verdana" w:cs="Verdana" w:eastAsia="Verdana" w:hAnsi="Verdana"/>
          <w:color w:val="202124"/>
          <w:sz w:val="24"/>
          <w:szCs w:val="24"/>
        </w:rPr>
      </w:pPr>
      <w:sdt>
        <w:sdtPr>
          <w:tag w:val="goog_rdk_8"/>
        </w:sdtPr>
        <w:sdtContent>
          <w:commentRangeStart w:id="8"/>
        </w:sdtContent>
      </w:sdt>
      <w:r w:rsidDel="00000000" w:rsidR="00000000" w:rsidRPr="00000000">
        <w:rPr>
          <w:rFonts w:ascii="Verdana" w:cs="Verdana" w:eastAsia="Verdana" w:hAnsi="Verdana"/>
          <w:color w:val="202124"/>
          <w:sz w:val="24"/>
          <w:szCs w:val="24"/>
          <w:rtl w:val="0"/>
        </w:rPr>
        <w:t xml:space="preserve">Em virtude de sua dispensabilidade, possíveis vícios não contaminam a ação penal e, por consequência, não geram nulidade</w:t>
      </w:r>
      <w:commentRangeEnd w:id="8"/>
      <w:r w:rsidDel="00000000" w:rsidR="00000000" w:rsidRPr="00000000">
        <w:commentReference w:id="8"/>
      </w:r>
      <w:r w:rsidDel="00000000" w:rsidR="00000000" w:rsidRPr="00000000">
        <w:rPr>
          <w:rFonts w:ascii="Verdana" w:cs="Verdana" w:eastAsia="Verdana" w:hAnsi="Verdana"/>
          <w:color w:val="202124"/>
          <w:sz w:val="24"/>
          <w:szCs w:val="24"/>
          <w:rtl w:val="0"/>
        </w:rPr>
        <w:t xml:space="preserve">. O mesmo ocorre com o interrogatório do investigado sem a presença do advogado quando este não manifestar interesse no acompanhamento, porém, caso manifeste expresso interesse neste acompanhamento, deverá ser concedido, sob pena de </w:t>
      </w:r>
      <w:r w:rsidDel="00000000" w:rsidR="00000000" w:rsidRPr="00000000">
        <w:rPr>
          <w:rFonts w:ascii="Verdana" w:cs="Verdana" w:eastAsia="Verdana" w:hAnsi="Verdana"/>
          <w:b w:val="1"/>
          <w:color w:val="202124"/>
          <w:sz w:val="24"/>
          <w:szCs w:val="24"/>
          <w:u w:val="single"/>
          <w:rtl w:val="0"/>
        </w:rPr>
        <w:t xml:space="preserve">nulidade do interrogatório</w:t>
      </w:r>
      <w:r w:rsidDel="00000000" w:rsidR="00000000" w:rsidRPr="00000000">
        <w:rPr>
          <w:rFonts w:ascii="Verdana" w:cs="Verdana" w:eastAsia="Verdana" w:hAnsi="Verdana"/>
          <w:color w:val="202124"/>
          <w:sz w:val="24"/>
          <w:szCs w:val="24"/>
          <w:rtl w:val="0"/>
        </w:rPr>
        <w:t xml:space="preserve">.  </w:t>
      </w:r>
    </w:p>
    <w:p w:rsidR="00000000" w:rsidDel="00000000" w:rsidP="00000000" w:rsidRDefault="00000000" w:rsidRPr="00000000" w14:paraId="000000D4">
      <w:pPr>
        <w:shd w:fill="ffffff" w:val="clear"/>
        <w:spacing w:after="240" w:before="240" w:line="360" w:lineRule="auto"/>
        <w:ind w:firstLine="851"/>
        <w:jc w:val="both"/>
        <w:rPr>
          <w:rFonts w:ascii="Verdana" w:cs="Verdana" w:eastAsia="Verdana" w:hAnsi="Verdana"/>
          <w:color w:val="202124"/>
          <w:sz w:val="24"/>
          <w:szCs w:val="24"/>
        </w:rPr>
      </w:pPr>
      <w:r w:rsidDel="00000000" w:rsidR="00000000" w:rsidRPr="00000000">
        <w:rPr>
          <w:rFonts w:ascii="Verdana" w:cs="Verdana" w:eastAsia="Verdana" w:hAnsi="Verdana"/>
          <w:color w:val="202124"/>
          <w:sz w:val="24"/>
          <w:szCs w:val="24"/>
          <w:rtl w:val="0"/>
        </w:rPr>
        <w:t xml:space="preserve">Diante de todo o exposto, determinado o interrogatório, o delegado não informou o investigado sobre o direito de ser acompanhado por advogado, conduzindo unilateralmente os atos inquisitoriais. Todavia, como mencionado acima, por ser procedimento informativo, eventuais vícios ocorridos na fase de inquérito policial não geram nulidades processuais, podendo levar a </w:t>
      </w:r>
      <w:r w:rsidDel="00000000" w:rsidR="00000000" w:rsidRPr="00000000">
        <w:rPr>
          <w:rFonts w:ascii="Verdana" w:cs="Verdana" w:eastAsia="Verdana" w:hAnsi="Verdana"/>
          <w:b w:val="1"/>
          <w:color w:val="202124"/>
          <w:sz w:val="24"/>
          <w:szCs w:val="24"/>
          <w:u w:val="single"/>
          <w:rtl w:val="0"/>
        </w:rPr>
        <w:t xml:space="preserve">invalidade do ato em si, não refletindo na ação penal. </w:t>
      </w:r>
      <w:r w:rsidDel="00000000" w:rsidR="00000000" w:rsidRPr="00000000">
        <w:rPr>
          <w:rtl w:val="0"/>
        </w:rPr>
      </w:r>
    </w:p>
    <w:p w:rsidR="00000000" w:rsidDel="00000000" w:rsidP="00000000" w:rsidRDefault="00000000" w:rsidRPr="00000000" w14:paraId="000000D5">
      <w:pPr>
        <w:shd w:fill="ffffff" w:val="clear"/>
        <w:spacing w:after="240" w:before="240" w:line="360" w:lineRule="auto"/>
        <w:ind w:firstLine="860"/>
        <w:jc w:val="both"/>
        <w:rPr>
          <w:rFonts w:ascii="Verdana" w:cs="Verdana" w:eastAsia="Verdana" w:hAnsi="Verdana"/>
          <w:color w:val="202124"/>
          <w:sz w:val="20"/>
          <w:szCs w:val="20"/>
          <w:highlight w:val="white"/>
        </w:rPr>
      </w:pPr>
      <w:r w:rsidDel="00000000" w:rsidR="00000000" w:rsidRPr="00000000">
        <w:rPr>
          <w:rFonts w:ascii="Verdana" w:cs="Verdana" w:eastAsia="Verdana" w:hAnsi="Verdana"/>
          <w:color w:val="202124"/>
          <w:sz w:val="24"/>
          <w:szCs w:val="24"/>
          <w:highlight w:val="white"/>
          <w:rtl w:val="0"/>
        </w:rPr>
        <w:t xml:space="preserve">Norberto Avena (2021, p.149), admite que:</w:t>
      </w:r>
      <w:r w:rsidDel="00000000" w:rsidR="00000000" w:rsidRPr="00000000">
        <w:rPr>
          <w:rtl w:val="0"/>
        </w:rPr>
      </w:r>
    </w:p>
    <w:p w:rsidR="00000000" w:rsidDel="00000000" w:rsidP="00000000" w:rsidRDefault="00000000" w:rsidRPr="00000000" w14:paraId="000000D6">
      <w:pPr>
        <w:shd w:fill="ffffff" w:val="clear"/>
        <w:spacing w:after="240" w:before="240" w:line="240" w:lineRule="auto"/>
        <w:ind w:left="2268" w:firstLine="0"/>
        <w:jc w:val="both"/>
        <w:rPr>
          <w:rFonts w:ascii="Verdana" w:cs="Verdana" w:eastAsia="Verdana" w:hAnsi="Verdana"/>
          <w:color w:val="202124"/>
          <w:sz w:val="20"/>
          <w:szCs w:val="20"/>
        </w:rPr>
      </w:pPr>
      <w:r w:rsidDel="00000000" w:rsidR="00000000" w:rsidRPr="00000000">
        <w:rPr>
          <w:rFonts w:ascii="Verdana" w:cs="Verdana" w:eastAsia="Verdana" w:hAnsi="Verdana"/>
          <w:color w:val="202124"/>
          <w:sz w:val="20"/>
          <w:szCs w:val="20"/>
          <w:rtl w:val="0"/>
        </w:rPr>
        <w:t xml:space="preserve">Não se sujeita à declaração de nulidade. Isto porque, despindo-se a sua confecção de formalidades sacramentais (a lei não estabelece um procedimento específico para sua feitura), não pode padecer de vícios que o nulifiquem. Isto não significa, obviamente, que uma determinada prova produzida no inquérito não possa vir a ser considerada nula no curso do processo criminal. Nessa hipótese, porém, a prova é que será nula e não o inquérito policial no bojo do qual foi ela realizada. Exemplo: perícia realizada na fase inquisitorial por peritos não oficiais desprovidos de curso superior. Em tal caso, o exame pericial será nulo, em face da violação ao art. 159, § 1.º, do CPP. Nem por isso, contudo, o inquérito policial ficará integralmente contaminado. Outra situação é a realização do interrogatório do investigado sem a presença de seu advogado quando este manifestar interesse no acompanhamento do ato. Neste caso, por incidência do art. 7.º, XXI, da Lei 8.906/1994, o interrogatório será nulo, assim como todas as provas que, direta ou indiretamente, dele sejam decorrência. Mas, atenção: a previsão do referido inciso XXI foi inserida pela Lei 13.245/2016 ao Estatuto da OAB com o fim de evitar a colocação de entraves, pela autoridade policial, à participação do advogado na tomada dos depoimentos quando tiver manifestado expresso interesse neste acompanhamento. Logo, não implica mitigação do caráter inquisitorial do inquérito, tampouco importa em conferir ao Delegado de Polícia a obrigação de intimar o causídico quanto às datas em que serão realizadas as inquirições, cabendo a ele (ao advogado), desejando assistir seu cliente, manter-se informado dos respectivos aprazamentos, mesmo porque, de acordo com o art. 7.º, XIV, da referida Lei, é direito do advogado “examinar, em qualquer instituição responsável por conduzir investigação, mesmo sem procuração, autos de flagrante e de investigações de qualquer natureza”. Esse, aliás, foi o entendimento agasalhado no STF por ocasião do julgamento monocrático do Agravo Regimental 7.612/DF (j. 18.09.2018) diante de pedido da defesa técnica do investigado para que fosse determinada à autoridade policial que procedesse à sua intimação prévia a fim de acompanhar os depoimentos a serem tomados no curso do inquérito. Na oportunidade, salientou o Ministro Edson Fachin que “a medida defensiva elencada no art. 7.º, XXI, da Lei 8.906/1994 não conferiu ao advogado o direito subjetivo de intimação prévia e tempestiva do calendário de inquirições a ser definido pela autoridade policial, mas, em seu restrito limite semântico, apenas contemplou o auxílio técnico a investigado no que tange aos depoimentos orais”. E prossegue: “Logo, ao contrário do que pretende fazer crer a defesa técnica, a determinação legislativa não imprime à autoridade policial a incumbência de trazer a defesa técnica para o seio da investigação criminal, tampouco impõe-lhe a obrigatoriedade de participação nas apurações, mas, em verdade de não criar óbice a que o advogado preste assistência ao investigado na colheita de depoimentos quando patente e expresso tal interesse, que pode ser evidentemente concretizado com a apresentação de razões e quesitos”.</w:t>
      </w:r>
    </w:p>
    <w:p w:rsidR="00000000" w:rsidDel="00000000" w:rsidP="00000000" w:rsidRDefault="00000000" w:rsidRPr="00000000" w14:paraId="000000D7">
      <w:pPr>
        <w:spacing w:after="240" w:before="240" w:line="360" w:lineRule="auto"/>
        <w:ind w:firstLine="855"/>
        <w:jc w:val="both"/>
        <w:rPr>
          <w:rFonts w:ascii="Verdana" w:cs="Verdana" w:eastAsia="Verdana" w:hAnsi="Verdana"/>
          <w:sz w:val="24"/>
          <w:szCs w:val="24"/>
          <w:highlight w:val="white"/>
        </w:rPr>
      </w:pPr>
      <w:r w:rsidDel="00000000" w:rsidR="00000000" w:rsidRPr="00000000">
        <w:rPr>
          <w:rFonts w:ascii="Verdana" w:cs="Verdana" w:eastAsia="Verdana" w:hAnsi="Verdana"/>
          <w:sz w:val="24"/>
          <w:szCs w:val="24"/>
          <w:highlight w:val="white"/>
          <w:rtl w:val="0"/>
        </w:rPr>
        <w:t xml:space="preserve">Corroborando com a situação exposta, o Tribunal de Justiça de Santa Catarina possui o seguinte entendimento: </w:t>
      </w:r>
    </w:p>
    <w:p w:rsidR="00000000" w:rsidDel="00000000" w:rsidP="00000000" w:rsidRDefault="00000000" w:rsidRPr="00000000" w14:paraId="000000D8">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240" w:lineRule="auto"/>
        <w:ind w:left="2268" w:right="0" w:firstLine="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EMBARGOS INFRINGENTES E DE NULIDADE. CRIME CONTRA A SAÚDE PÚBLICA. TRÁFICO DE DROGAS (ART. 33,"CAPUT", DA LEI Nº 11.343/2006). VÍCIO NO INTERROGATÓRIO PRESTADO NA DELEGACIA. AUSÊNCIA DO DEFENSOR CONSTITUÍDO NO ATO. ALEGADA OFENSA AO ART. 7º, XXI, DO ESTATUTO DA OAB. NULIDADE NÃO CONFIGURADA. INEXISTÊNCIA DE OBRIGATORIEDADE DA PRESENÇA DO DEFENSOR. AINDA, VÍCIOS NO INQUÉRITO QUE NÃO MACULAM A AÇÃO PENAL. PREVALÊNCIA DOS VOTOS VENCEDORES. EMBARGOS CONHECIDOS E NÃO PROVIDOS.</w:t>
      </w:r>
    </w:p>
    <w:p w:rsidR="00000000" w:rsidDel="00000000" w:rsidP="00000000" w:rsidRDefault="00000000" w:rsidRPr="00000000" w14:paraId="000000D9">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240" w:lineRule="auto"/>
        <w:ind w:left="2268" w:right="0" w:firstLine="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(TJ-SC - EI: 00190244420188240000 Jaraguá do Sul 0019024-44.2018.8.24.0000, Relator: Norival Acácio Engel, Data de Julgamento: 27/02/2019, Primeiro Grupo de Direito Criminal)</w:t>
      </w:r>
    </w:p>
    <w:p w:rsidR="00000000" w:rsidDel="00000000" w:rsidP="00000000" w:rsidRDefault="00000000" w:rsidRPr="00000000" w14:paraId="000000DA">
      <w:pPr>
        <w:spacing w:after="300" w:before="300" w:line="360" w:lineRule="auto"/>
        <w:ind w:firstLine="850"/>
        <w:jc w:val="both"/>
        <w:rPr>
          <w:rFonts w:ascii="Verdana" w:cs="Verdana" w:eastAsia="Verdana" w:hAnsi="Verdana"/>
          <w:sz w:val="24"/>
          <w:szCs w:val="24"/>
          <w:highlight w:val="white"/>
        </w:rPr>
      </w:pPr>
      <w:r w:rsidDel="00000000" w:rsidR="00000000" w:rsidRPr="00000000">
        <w:rPr>
          <w:rFonts w:ascii="Verdana" w:cs="Verdana" w:eastAsia="Verdana" w:hAnsi="Verdana"/>
          <w:sz w:val="24"/>
          <w:szCs w:val="24"/>
          <w:highlight w:val="white"/>
          <w:rtl w:val="0"/>
        </w:rPr>
        <w:t xml:space="preserve">Sobre a nulidade do inquérito policial o Superior Tribunal de Justiça, possui o seguinte entendimento jurisprudencial:  </w:t>
      </w:r>
    </w:p>
    <w:p w:rsidR="00000000" w:rsidDel="00000000" w:rsidP="00000000" w:rsidRDefault="00000000" w:rsidRPr="00000000" w14:paraId="000000DB">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240" w:lineRule="auto"/>
        <w:ind w:left="2268" w:right="0" w:firstLine="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PENAL E PROCESSUAL. HABEAS CORPUS. DENUNCIAÇÃO CALUNIOSA. TRANCAMENTO DA AÇÃO PENAL. ATIPICIDADE. JUSTA CAUSA. AUSÊNCIA. DILAÇÃO PROBATÓRIA. IMPOSSIBILIDADE. INQUÉRITO POLICIAL. ALEGADO CERCEAMENTO DE DEFESA. CONSTRANGIMENTO ILEGAL INEXISTENTE. Quando a denúncia descreve conduta que, em tese, constitui crime, incabível é a alegação de falta de justa causa, tanto mais porque, nessa fase processual, prevalece o princípio do in dubio pro societate, bastando, para o recebimento da denúncia, a mera probabilidade de procedência da ação penal. Impedir o Estado-Administração de demonstrar a responsabilidade penal do acusado implica cercear o direito-dever do poder público em apurar a verdade sobre os fatos. Marcado por cognição sumária e rito célere, o habeas corpus não comporta o exame de questões que, para seu deslinde, demandem aprofundado exame do conjunto fático-probatório dos autos, sobretudo a efetiva ocorrência do delito, posto que tal proceder é peculiar ao processo de conhecimento. O trancamento de ação penal, pela via estreita do writ, somente é possível quando, pela mera exposição dos fatos narrados na denúncia, verifica-se que há imputação de fato penalmente atípico, inexistência de qualquer elemento indiciário demonstrativo da autoria do delito ou extinta a punibilidade. É entendimento dominante neste Superior Tribunal de Justiça que eventual nulidade do inquérito policial não contamina a ação penal superveniente, vez que aquele é mera peça informativa, produzida sem o crivo do contraditório. Recurso a que se nega provimento.</w:t>
      </w:r>
    </w:p>
    <w:p w:rsidR="00000000" w:rsidDel="00000000" w:rsidP="00000000" w:rsidRDefault="00000000" w:rsidRPr="00000000" w14:paraId="000000DC">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240" w:lineRule="auto"/>
        <w:ind w:left="2268" w:right="0" w:firstLine="0"/>
        <w:jc w:val="both"/>
        <w:rPr>
          <w:rFonts w:ascii="Verdana" w:cs="Verdana" w:eastAsia="Verdana" w:hAnsi="Verdana"/>
          <w:b w:val="0"/>
          <w:i w:val="0"/>
          <w:smallCaps w:val="0"/>
          <w:strike w:val="0"/>
          <w:color w:val="000000"/>
          <w:sz w:val="22"/>
          <w:szCs w:val="22"/>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(STJ - RHC: 21170 RS 2007/0090255-5, Relator: MIN. CARLOS FERNANDO MATHIAS (JUIZ CONVOCADO DO TRF, Data de Julgamento: 04/09/2007, T6 - SEXTA TURMA, Data de Publicação: DJ 08/10/2007 p. 368</w:t>
      </w:r>
      <w:r w:rsidDel="00000000" w:rsidR="00000000" w:rsidRPr="00000000">
        <w:rPr>
          <w:rFonts w:ascii="Verdana" w:cs="Verdana" w:eastAsia="Verdana" w:hAnsi="Verdana"/>
          <w:b w:val="0"/>
          <w:i w:val="0"/>
          <w:smallCaps w:val="0"/>
          <w:strike w:val="0"/>
          <w:color w:val="000000"/>
          <w:sz w:val="22"/>
          <w:szCs w:val="22"/>
          <w:u w:val="none"/>
          <w:shd w:fill="auto" w:val="clear"/>
          <w:vertAlign w:val="baseline"/>
          <w:rtl w:val="0"/>
        </w:rPr>
        <w:t xml:space="preserve">)</w:t>
      </w:r>
    </w:p>
    <w:p w:rsidR="00000000" w:rsidDel="00000000" w:rsidP="00000000" w:rsidRDefault="00000000" w:rsidRPr="00000000" w14:paraId="000000DD">
      <w:pPr>
        <w:shd w:fill="ffffff" w:val="clear"/>
        <w:spacing w:after="240" w:before="240" w:line="360" w:lineRule="auto"/>
        <w:ind w:firstLine="851"/>
        <w:jc w:val="both"/>
        <w:rPr>
          <w:rFonts w:ascii="Verdana" w:cs="Verdana" w:eastAsia="Verdana" w:hAnsi="Verdana"/>
          <w:color w:val="202124"/>
          <w:sz w:val="24"/>
          <w:szCs w:val="24"/>
        </w:rPr>
      </w:pPr>
      <w:r w:rsidDel="00000000" w:rsidR="00000000" w:rsidRPr="00000000">
        <w:rPr>
          <w:rFonts w:ascii="Verdana" w:cs="Verdana" w:eastAsia="Verdana" w:hAnsi="Verdana"/>
          <w:color w:val="202124"/>
          <w:sz w:val="24"/>
          <w:szCs w:val="24"/>
          <w:rtl w:val="0"/>
        </w:rPr>
        <w:t xml:space="preserve">Em conclusão, verificada a dispensabilidade do inquérito policial para a propositura da ação penal, onde possíveis vícios contidos no mesmo não causam a nulidade do processo, a investigação e todo o processo não poderão ser anulados mesmo ocorrendo o interrogatório de Sérgio Lorota sem a presença de patrono, </w:t>
      </w:r>
      <w:r w:rsidDel="00000000" w:rsidR="00000000" w:rsidRPr="00000000">
        <w:rPr>
          <w:rFonts w:ascii="Verdana" w:cs="Verdana" w:eastAsia="Verdana" w:hAnsi="Verdana"/>
          <w:b w:val="1"/>
          <w:color w:val="202124"/>
          <w:sz w:val="24"/>
          <w:szCs w:val="24"/>
          <w:u w:val="single"/>
          <w:rtl w:val="0"/>
        </w:rPr>
        <w:t xml:space="preserve">restando nulo somente o ato da interrogação.</w:t>
      </w:r>
      <w:r w:rsidDel="00000000" w:rsidR="00000000" w:rsidRPr="00000000">
        <w:rPr>
          <w:rFonts w:ascii="Verdana" w:cs="Verdana" w:eastAsia="Verdana" w:hAnsi="Verdana"/>
          <w:color w:val="202124"/>
          <w:sz w:val="24"/>
          <w:szCs w:val="24"/>
          <w:rtl w:val="0"/>
        </w:rPr>
        <w:t xml:space="preserve"> </w:t>
      </w:r>
    </w:p>
    <w:p w:rsidR="00000000" w:rsidDel="00000000" w:rsidP="00000000" w:rsidRDefault="00000000" w:rsidRPr="00000000" w14:paraId="000000DE">
      <w:pPr>
        <w:shd w:fill="ffffff" w:val="clear"/>
        <w:spacing w:after="240" w:before="240" w:line="240" w:lineRule="auto"/>
        <w:ind w:firstLine="851"/>
        <w:jc w:val="both"/>
        <w:rPr>
          <w:rFonts w:ascii="Verdana" w:cs="Verdana" w:eastAsia="Verdana" w:hAnsi="Verdana"/>
          <w:color w:val="202124"/>
          <w:sz w:val="24"/>
          <w:szCs w:val="24"/>
        </w:rPr>
      </w:pPr>
      <w:r w:rsidDel="00000000" w:rsidR="00000000" w:rsidRPr="00000000">
        <w:rPr>
          <w:rtl w:val="0"/>
        </w:rPr>
      </w:r>
    </w:p>
    <w:p w:rsidR="00000000" w:rsidDel="00000000" w:rsidP="00000000" w:rsidRDefault="00000000" w:rsidRPr="00000000" w14:paraId="000000DF">
      <w:pPr>
        <w:spacing w:after="0" w:line="240" w:lineRule="auto"/>
        <w:ind w:firstLine="720"/>
        <w:jc w:val="center"/>
        <w:rPr>
          <w:rFonts w:ascii="Verdana" w:cs="Verdana" w:eastAsia="Verdana" w:hAnsi="Verdana"/>
          <w:sz w:val="24"/>
          <w:szCs w:val="24"/>
        </w:rPr>
      </w:pPr>
      <w:r w:rsidDel="00000000" w:rsidR="00000000" w:rsidRPr="00000000">
        <w:rPr>
          <w:rFonts w:ascii="Verdana" w:cs="Verdana" w:eastAsia="Verdana" w:hAnsi="Verdana"/>
          <w:b w:val="1"/>
          <w:color w:val="202124"/>
          <w:sz w:val="24"/>
          <w:szCs w:val="24"/>
          <w:highlight w:val="white"/>
          <w:rtl w:val="0"/>
        </w:rPr>
        <w:t xml:space="preserve">PROGRESSÃO DE REGIME - DIREITO PENAL</w:t>
      </w:r>
      <w:r w:rsidDel="00000000" w:rsidR="00000000" w:rsidRPr="00000000">
        <w:rPr>
          <w:rtl w:val="0"/>
        </w:rPr>
      </w:r>
    </w:p>
    <w:p w:rsidR="00000000" w:rsidDel="00000000" w:rsidP="00000000" w:rsidRDefault="00000000" w:rsidRPr="00000000" w14:paraId="000000E0">
      <w:pPr>
        <w:spacing w:after="0" w:line="360" w:lineRule="auto"/>
        <w:jc w:val="both"/>
        <w:rPr>
          <w:rFonts w:ascii="Verdana" w:cs="Verdana" w:eastAsia="Verdana" w:hAnsi="Verdana"/>
          <w:sz w:val="24"/>
          <w:szCs w:val="24"/>
          <w:highlight w:val="white"/>
        </w:rPr>
      </w:pPr>
      <w:r w:rsidDel="00000000" w:rsidR="00000000" w:rsidRPr="00000000">
        <w:rPr>
          <w:rtl w:val="0"/>
        </w:rPr>
      </w:r>
    </w:p>
    <w:p w:rsidR="00000000" w:rsidDel="00000000" w:rsidP="00000000" w:rsidRDefault="00000000" w:rsidRPr="00000000" w14:paraId="000000E1">
      <w:pPr>
        <w:spacing w:after="0" w:line="360" w:lineRule="auto"/>
        <w:ind w:firstLine="851"/>
        <w:jc w:val="both"/>
        <w:rPr>
          <w:rFonts w:ascii="Verdana" w:cs="Verdana" w:eastAsia="Verdana" w:hAnsi="Verdana"/>
          <w:sz w:val="24"/>
          <w:szCs w:val="24"/>
        </w:rPr>
      </w:pPr>
      <w:r w:rsidDel="00000000" w:rsidR="00000000" w:rsidRPr="00000000">
        <w:rPr>
          <w:rFonts w:ascii="Verdana" w:cs="Verdana" w:eastAsia="Verdana" w:hAnsi="Verdana"/>
          <w:sz w:val="24"/>
          <w:szCs w:val="24"/>
          <w:highlight w:val="white"/>
          <w:rtl w:val="0"/>
        </w:rPr>
        <w:t xml:space="preserve">Diante do que vimos no relato, no que se refere ao Direito</w:t>
      </w:r>
      <w:r w:rsidDel="00000000" w:rsidR="00000000" w:rsidRPr="00000000">
        <w:rPr>
          <w:rFonts w:ascii="Verdana" w:cs="Verdana" w:eastAsia="Verdana" w:hAnsi="Verdana"/>
          <w:color w:val="000000"/>
          <w:sz w:val="24"/>
          <w:szCs w:val="24"/>
          <w:rtl w:val="0"/>
        </w:rPr>
        <w:t xml:space="preserve"> Penal, sobre a progressão de regime de pena, primeiramente é oportuno destacar o crime cometido por Sérgio Lorota. </w:t>
      </w:r>
      <w:r w:rsidDel="00000000" w:rsidR="00000000" w:rsidRPr="00000000">
        <w:rPr>
          <w:rtl w:val="0"/>
        </w:rPr>
      </w:r>
    </w:p>
    <w:p w:rsidR="00000000" w:rsidDel="00000000" w:rsidP="00000000" w:rsidRDefault="00000000" w:rsidRPr="00000000" w14:paraId="000000E2">
      <w:pPr>
        <w:spacing w:after="0" w:line="360" w:lineRule="auto"/>
        <w:ind w:firstLine="851"/>
        <w:jc w:val="both"/>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O crime de estupro de vulnerável está previsto no artigo 217-A do Código Penal, que dispõe: </w:t>
      </w:r>
    </w:p>
    <w:p w:rsidR="00000000" w:rsidDel="00000000" w:rsidP="00000000" w:rsidRDefault="00000000" w:rsidRPr="00000000" w14:paraId="000000E3">
      <w:pPr>
        <w:spacing w:after="0" w:line="240" w:lineRule="auto"/>
        <w:ind w:left="2268" w:firstLine="0"/>
        <w:jc w:val="both"/>
        <w:rPr>
          <w:rFonts w:ascii="Verdana" w:cs="Verdana" w:eastAsia="Verdana" w:hAnsi="Verdana"/>
          <w:color w:val="000000"/>
          <w:sz w:val="20"/>
          <w:szCs w:val="20"/>
          <w:highlight w:val="white"/>
        </w:rPr>
      </w:pPr>
      <w:r w:rsidDel="00000000" w:rsidR="00000000" w:rsidRPr="00000000">
        <w:rPr>
          <w:rFonts w:ascii="Verdana" w:cs="Verdana" w:eastAsia="Verdana" w:hAnsi="Verdana"/>
          <w:color w:val="000000"/>
          <w:sz w:val="20"/>
          <w:szCs w:val="20"/>
          <w:highlight w:val="white"/>
          <w:rtl w:val="0"/>
        </w:rPr>
        <w:t xml:space="preserve">Art. 217-A.  Ter conjunção carnal ou praticar outro ato libidinoso com menor de 14 (catorze) anos</w:t>
      </w:r>
    </w:p>
    <w:p w:rsidR="00000000" w:rsidDel="00000000" w:rsidP="00000000" w:rsidRDefault="00000000" w:rsidRPr="00000000" w14:paraId="000000E4">
      <w:pPr>
        <w:spacing w:after="0" w:line="240" w:lineRule="auto"/>
        <w:ind w:left="2268" w:firstLine="0"/>
        <w:jc w:val="both"/>
        <w:rPr>
          <w:rFonts w:ascii="Verdana" w:cs="Verdana" w:eastAsia="Verdana" w:hAnsi="Verdana"/>
          <w:color w:val="000000"/>
          <w:sz w:val="20"/>
          <w:szCs w:val="20"/>
        </w:rPr>
      </w:pPr>
      <w:r w:rsidDel="00000000" w:rsidR="00000000" w:rsidRPr="00000000">
        <w:rPr>
          <w:rtl w:val="0"/>
        </w:rPr>
      </w:r>
    </w:p>
    <w:p w:rsidR="00000000" w:rsidDel="00000000" w:rsidP="00000000" w:rsidRDefault="00000000" w:rsidRPr="00000000" w14:paraId="000000E5">
      <w:pPr>
        <w:spacing w:after="0" w:line="360" w:lineRule="auto"/>
        <w:ind w:firstLine="851"/>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rtl w:val="0"/>
        </w:rPr>
        <w:t xml:space="preserve">A conduta em si tem como cerne a presunção da violência, considerando que essas pessoas não possuem resistência alguma. </w:t>
      </w:r>
      <w:r w:rsidDel="00000000" w:rsidR="00000000" w:rsidRPr="00000000">
        <w:rPr>
          <w:rtl w:val="0"/>
        </w:rPr>
      </w:r>
    </w:p>
    <w:p w:rsidR="00000000" w:rsidDel="00000000" w:rsidP="00000000" w:rsidRDefault="00000000" w:rsidRPr="00000000" w14:paraId="000000E6">
      <w:pPr>
        <w:spacing w:after="0" w:line="240" w:lineRule="auto"/>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E7">
      <w:pPr>
        <w:spacing w:after="0" w:line="240" w:lineRule="auto"/>
        <w:ind w:firstLine="851"/>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rtl w:val="0"/>
        </w:rPr>
        <w:t xml:space="preserve">Conforme pontua Victor Eduardo Rios (2022, p. 657):</w:t>
      </w:r>
      <w:r w:rsidDel="00000000" w:rsidR="00000000" w:rsidRPr="00000000">
        <w:rPr>
          <w:rtl w:val="0"/>
        </w:rPr>
      </w:r>
    </w:p>
    <w:p w:rsidR="00000000" w:rsidDel="00000000" w:rsidP="00000000" w:rsidRDefault="00000000" w:rsidRPr="00000000" w14:paraId="000000E8">
      <w:pPr>
        <w:spacing w:after="0" w:line="240" w:lineRule="auto"/>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E9">
      <w:pPr>
        <w:spacing w:after="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rtl w:val="0"/>
        </w:rPr>
        <w:t xml:space="preserve">“(...) pouco importa que uma moça de 12 anos seja prostituta e já tenha se relacionado com outros homens. Aquele que for flagrado com ela mantendo relação sexual, ciente de sua idade, responderá pelo crime. Não há falar em vulnerabilidade relativa, capaz de afastar o enquadramento, pois a própria Exposição de Motivos do Projeto de Lei do Senado n. 253/2004, advinda da CPMI sobre a violência sexual e as redes de exploração sexual de crianças e adolescentes, assim esclarece: “Esse artigo, que tipifica o estupro de vulnerável, substitui o atual sistema de presunção de violência contra criança ou adolescente menor de 14 anos, previsto no art. 224 do Código Penal. Apesar de poder a CPMI advogar que é absoluta a presunção legal de que trata o art. 224, não é esse o entendimento em muitos julgados. O projeto de reforma do Código Penal, então, destaca a vulnerabilidade de certas pessoas, não somente crianças e adolescentes com idade até 14 anos, mas também a pessoa que, por enfermidade ou deficiência mental, não possuir discernimento para a prática do ato sexual, e aquele que não pode, por qualquer motivo, oferecer resistência; e com essas pessoas considera como crime ter conjunção carnal ou praticar qualquer outro ato libidinoso; sem entrar no mérito da violência ou sua presunção. Trata-se de objetividade fática”.</w:t>
      </w:r>
      <w:r w:rsidDel="00000000" w:rsidR="00000000" w:rsidRPr="00000000">
        <w:rPr>
          <w:rtl w:val="0"/>
        </w:rPr>
      </w:r>
    </w:p>
    <w:p w:rsidR="00000000" w:rsidDel="00000000" w:rsidP="00000000" w:rsidRDefault="00000000" w:rsidRPr="00000000" w14:paraId="000000EA">
      <w:pPr>
        <w:spacing w:after="0" w:line="240" w:lineRule="auto"/>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EB">
      <w:pPr>
        <w:spacing w:after="0" w:line="240" w:lineRule="auto"/>
        <w:ind w:firstLine="851"/>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rtl w:val="0"/>
        </w:rPr>
        <w:t xml:space="preserve">Neste sentido, observa o eminente doutrinador Fernando Capez (2022, p. </w:t>
      </w:r>
      <w:r w:rsidDel="00000000" w:rsidR="00000000" w:rsidRPr="00000000">
        <w:rPr>
          <w:rFonts w:ascii="Verdana" w:cs="Verdana" w:eastAsia="Verdana" w:hAnsi="Verdana"/>
          <w:sz w:val="24"/>
          <w:szCs w:val="24"/>
          <w:rtl w:val="0"/>
        </w:rPr>
        <w:t xml:space="preserve">297):</w:t>
      </w:r>
    </w:p>
    <w:p w:rsidR="00000000" w:rsidDel="00000000" w:rsidP="00000000" w:rsidRDefault="00000000" w:rsidRPr="00000000" w14:paraId="000000EC">
      <w:pPr>
        <w:spacing w:after="0" w:line="240" w:lineRule="auto"/>
        <w:ind w:firstLine="851"/>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ED">
      <w:pPr>
        <w:spacing w:after="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rtl w:val="0"/>
        </w:rPr>
        <w:t xml:space="preserve">(...) a ação de “ter conjunção carnal ou praticar outro ato libidinoso com menor de 14 (catorze) anos”, configura o aludido delito com pena mais severa de reclusão de 8 a 15 anos, quando na forma simples. O § 1º do mencionado art. 217-A pune, com a mesma pena do caput, os atos libidinosos contra pessoa, cuja enfermidade ou deficiência mental lhe retire o discernimento ou a capacidade de resistência. </w:t>
      </w:r>
      <w:r w:rsidDel="00000000" w:rsidR="00000000" w:rsidRPr="00000000">
        <w:rPr>
          <w:rtl w:val="0"/>
        </w:rPr>
      </w:r>
    </w:p>
    <w:p w:rsidR="00000000" w:rsidDel="00000000" w:rsidP="00000000" w:rsidRDefault="00000000" w:rsidRPr="00000000" w14:paraId="000000EE">
      <w:pPr>
        <w:spacing w:after="0" w:line="240" w:lineRule="auto"/>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EF">
      <w:pPr>
        <w:spacing w:after="0" w:line="360" w:lineRule="auto"/>
        <w:ind w:firstLine="851"/>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rtl w:val="0"/>
        </w:rPr>
        <w:t xml:space="preserve">A violência se presume o que torna o crime mais grave em relação aos demais e a pena para o crime em questão é de reclusão, de 8 (oito) a 15 (quinze) anos.</w:t>
      </w:r>
      <w:r w:rsidDel="00000000" w:rsidR="00000000" w:rsidRPr="00000000">
        <w:rPr>
          <w:rFonts w:ascii="Verdana" w:cs="Verdana" w:eastAsia="Verdana" w:hAnsi="Verdana"/>
          <w:color w:val="000000"/>
          <w:highlight w:val="white"/>
          <w:rtl w:val="0"/>
        </w:rPr>
        <w:t xml:space="preserve">  </w:t>
      </w:r>
      <w:r w:rsidDel="00000000" w:rsidR="00000000" w:rsidRPr="00000000">
        <w:rPr>
          <w:rtl w:val="0"/>
        </w:rPr>
      </w:r>
    </w:p>
    <w:p w:rsidR="00000000" w:rsidDel="00000000" w:rsidP="00000000" w:rsidRDefault="00000000" w:rsidRPr="00000000" w14:paraId="000000F0">
      <w:pPr>
        <w:spacing w:after="0" w:line="360" w:lineRule="auto"/>
        <w:ind w:firstLine="851"/>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highlight w:val="white"/>
          <w:rtl w:val="0"/>
        </w:rPr>
        <w:t xml:space="preserve">De acordo com o Código Penal, os crimes podem ser apenados com reclusão, detenção e prisão simples e essa classificação, de acordo com a exposição de motivos do </w:t>
      </w:r>
      <w:r w:rsidDel="00000000" w:rsidR="00000000" w:rsidRPr="00000000">
        <w:rPr>
          <w:rFonts w:ascii="Verdana" w:cs="Verdana" w:eastAsia="Verdana" w:hAnsi="Verdana"/>
          <w:color w:val="000000"/>
          <w:sz w:val="24"/>
          <w:szCs w:val="24"/>
          <w:rtl w:val="0"/>
        </w:rPr>
        <w:t xml:space="preserve">Código</w:t>
      </w:r>
      <w:r w:rsidDel="00000000" w:rsidR="00000000" w:rsidRPr="00000000">
        <w:rPr>
          <w:rFonts w:ascii="Verdana" w:cs="Verdana" w:eastAsia="Verdana" w:hAnsi="Verdana"/>
          <w:color w:val="000000"/>
          <w:sz w:val="24"/>
          <w:szCs w:val="24"/>
          <w:highlight w:val="white"/>
          <w:rtl w:val="0"/>
        </w:rPr>
        <w:t xml:space="preserve"> Penal, é a gravidade do delito. Logo, a reclusão é mais grave pois tem regime fechado, semiaberto e aberto a detenção possui regime semiaberto ou aberto e o fechado em caso de regressão (artigo 33, </w:t>
      </w:r>
      <w:r w:rsidDel="00000000" w:rsidR="00000000" w:rsidRPr="00000000">
        <w:rPr>
          <w:rFonts w:ascii="Verdana" w:cs="Verdana" w:eastAsia="Verdana" w:hAnsi="Verdana"/>
          <w:i w:val="1"/>
          <w:color w:val="000000"/>
          <w:sz w:val="24"/>
          <w:szCs w:val="24"/>
          <w:highlight w:val="white"/>
          <w:rtl w:val="0"/>
        </w:rPr>
        <w:t xml:space="preserve">caput</w:t>
      </w:r>
      <w:r w:rsidDel="00000000" w:rsidR="00000000" w:rsidRPr="00000000">
        <w:rPr>
          <w:rFonts w:ascii="Verdana" w:cs="Verdana" w:eastAsia="Verdana" w:hAnsi="Verdana"/>
          <w:color w:val="000000"/>
          <w:sz w:val="24"/>
          <w:szCs w:val="24"/>
          <w:highlight w:val="white"/>
          <w:rtl w:val="0"/>
        </w:rPr>
        <w:t xml:space="preserve">, segunda parte do CP). Os regimes previstos no Código Penal servem para adequar e classificar a conduta do acusado.</w:t>
      </w:r>
      <w:r w:rsidDel="00000000" w:rsidR="00000000" w:rsidRPr="00000000">
        <w:rPr>
          <w:rFonts w:ascii="Verdana" w:cs="Verdana" w:eastAsia="Verdana" w:hAnsi="Verdana"/>
          <w:color w:val="000000"/>
          <w:sz w:val="23"/>
          <w:szCs w:val="23"/>
          <w:highlight w:val="white"/>
          <w:rtl w:val="0"/>
        </w:rPr>
        <w:t xml:space="preserve"> </w:t>
      </w:r>
      <w:r w:rsidDel="00000000" w:rsidR="00000000" w:rsidRPr="00000000">
        <w:rPr>
          <w:rtl w:val="0"/>
        </w:rPr>
      </w:r>
    </w:p>
    <w:p w:rsidR="00000000" w:rsidDel="00000000" w:rsidP="00000000" w:rsidRDefault="00000000" w:rsidRPr="00000000" w14:paraId="000000F1">
      <w:pPr>
        <w:spacing w:after="0" w:line="240" w:lineRule="auto"/>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F2">
      <w:pPr>
        <w:spacing w:after="0" w:line="360" w:lineRule="auto"/>
        <w:ind w:firstLine="851"/>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highlight w:val="white"/>
          <w:rtl w:val="0"/>
        </w:rPr>
        <w:t xml:space="preserve">Com relação às penas e os regimes, Guilherme de Souza Nucci (2022, p. 317), elenca que:</w:t>
      </w:r>
      <w:r w:rsidDel="00000000" w:rsidR="00000000" w:rsidRPr="00000000">
        <w:rPr>
          <w:rtl w:val="0"/>
        </w:rPr>
      </w:r>
    </w:p>
    <w:p w:rsidR="00000000" w:rsidDel="00000000" w:rsidP="00000000" w:rsidRDefault="00000000" w:rsidRPr="00000000" w14:paraId="000000F3">
      <w:pPr>
        <w:spacing w:after="0" w:line="360" w:lineRule="auto"/>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F4">
      <w:pPr>
        <w:spacing w:after="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highlight w:val="white"/>
          <w:rtl w:val="0"/>
        </w:rPr>
        <w:t xml:space="preserve">Quanto às diferenças entre as penas de reclusão e detenção, destinadas ao crime, temos basicamente cinco: a) a reclusão é cumprida inicialmente nos regimes fechado, semiaberto ou aberto; a detenção somente pode ter início no regime semiaberto ou aberto (art. 33, caput, CP); b) a reclusão pode acarretar como efeito da condenação a incapacidade para o exercício do pátrio poder (atualmente, denominado, pelo Código Civil, poder familiar), tutela ou curatela, nos crimes dolosos, sujeitos a esse tipo de pena, cometidos contra outrem igualmente titular do mesmo poder familiar, filho, filha ou outro descendente ou tutelado ou curatelado (art. 92, II, CP); c) a reclusão propicia a internação nos casos de medida de segurança; a detenção permite a aplicação do regime de tratamento ambulatorial (art. 97, CP); d) a reclusão é cumprida em primeiro lugar (art. 69, caput, CP); e) a reclusão é prevista para crimes mais graves; a detenção é reservada para os mais leves, motivo pelo qual, no instante de criação do tipo penal incriminador, o legislador sinaliza à sociedade a gravidade do delito.</w:t>
      </w:r>
      <w:r w:rsidDel="00000000" w:rsidR="00000000" w:rsidRPr="00000000">
        <w:rPr>
          <w:rtl w:val="0"/>
        </w:rPr>
      </w:r>
    </w:p>
    <w:p w:rsidR="00000000" w:rsidDel="00000000" w:rsidP="00000000" w:rsidRDefault="00000000" w:rsidRPr="00000000" w14:paraId="000000F5">
      <w:pPr>
        <w:spacing w:after="0" w:line="240" w:lineRule="auto"/>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F6">
      <w:pPr>
        <w:spacing w:after="0" w:line="360" w:lineRule="auto"/>
        <w:ind w:firstLine="851"/>
        <w:jc w:val="both"/>
        <w:rPr>
          <w:rFonts w:ascii="Verdana" w:cs="Verdana" w:eastAsia="Verdana" w:hAnsi="Verdana"/>
          <w:color w:val="000000"/>
          <w:sz w:val="24"/>
          <w:szCs w:val="24"/>
          <w:highlight w:val="white"/>
        </w:rPr>
      </w:pPr>
      <w:r w:rsidDel="00000000" w:rsidR="00000000" w:rsidRPr="00000000">
        <w:rPr>
          <w:rFonts w:ascii="Verdana" w:cs="Verdana" w:eastAsia="Verdana" w:hAnsi="Verdana"/>
          <w:color w:val="000000"/>
          <w:sz w:val="24"/>
          <w:szCs w:val="24"/>
          <w:highlight w:val="white"/>
          <w:rtl w:val="0"/>
        </w:rPr>
        <w:t xml:space="preserve">Conforme artigo 33, §2º, alínea “a”, o condenado à pena superior a 8 (oito) anos deve começar a cumpri-la no regime fechado. O crime de estupro tem a pena mínima cominada abstratamente de 8 (oito) anos, ou seja, se condenado, ainda, que em pena mínima, iniciará o cumprimento da pena no regime fechado, contemplemos:</w:t>
      </w:r>
    </w:p>
    <w:p w:rsidR="00000000" w:rsidDel="00000000" w:rsidP="00000000" w:rsidRDefault="00000000" w:rsidRPr="00000000" w14:paraId="000000F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40" w:lineRule="auto"/>
        <w:ind w:left="2268" w:right="0" w:firstLine="0"/>
        <w:jc w:val="left"/>
        <w:rPr>
          <w:rFonts w:ascii="Verdana" w:cs="Verdana" w:eastAsia="Verdana" w:hAnsi="Verdana"/>
          <w:b w:val="0"/>
          <w:i w:val="0"/>
          <w:smallCaps w:val="0"/>
          <w:strike w:val="0"/>
          <w:color w:val="000000"/>
          <w:sz w:val="27"/>
          <w:szCs w:val="27"/>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2</w:t>
      </w: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º</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 As penas privativas de liberdade deverão ser executadas em forma progressiva, segundo o mérito do condenado, observados os seguintes critérios e ressalvadas as hipóteses de transferência a regime mais rigoroso: </w:t>
      </w:r>
      <w:hyperlink r:id="rId18">
        <w:r w:rsidDel="00000000" w:rsidR="00000000" w:rsidRPr="00000000">
          <w:rPr>
            <w:rFonts w:ascii="Verdana" w:cs="Verdana" w:eastAsia="Verdana" w:hAnsi="Verdana"/>
            <w:b w:val="0"/>
            <w:i w:val="0"/>
            <w:smallCaps w:val="0"/>
            <w:strike w:val="0"/>
            <w:color w:val="000000"/>
            <w:sz w:val="20"/>
            <w:szCs w:val="20"/>
            <w:u w:val="single"/>
            <w:shd w:fill="auto" w:val="clear"/>
            <w:vertAlign w:val="baseline"/>
            <w:rtl w:val="0"/>
          </w:rPr>
          <w:t xml:space="preserve">(Redação dada pela Lei nº 7.209, de 11.7.1984)</w:t>
        </w:r>
      </w:hyperlink>
      <w:r w:rsidDel="00000000" w:rsidR="00000000" w:rsidRPr="00000000">
        <w:rPr>
          <w:rtl w:val="0"/>
        </w:rPr>
      </w:r>
    </w:p>
    <w:p w:rsidR="00000000" w:rsidDel="00000000" w:rsidP="00000000" w:rsidRDefault="00000000" w:rsidRPr="00000000" w14:paraId="000000F8">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40" w:lineRule="auto"/>
        <w:ind w:left="2268" w:right="0" w:firstLine="0"/>
        <w:jc w:val="left"/>
        <w:rPr>
          <w:rFonts w:ascii="Verdana" w:cs="Verdana" w:eastAsia="Verdana" w:hAnsi="Verdana"/>
          <w:b w:val="0"/>
          <w:i w:val="0"/>
          <w:smallCaps w:val="0"/>
          <w:strike w:val="0"/>
          <w:color w:val="000000"/>
          <w:sz w:val="27"/>
          <w:szCs w:val="27"/>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a) o condenado a pena superior a 8 (oito) anos deverá começar a cumpri-la em regime fechado;</w:t>
      </w:r>
      <w:r w:rsidDel="00000000" w:rsidR="00000000" w:rsidRPr="00000000">
        <w:rPr>
          <w:rtl w:val="0"/>
        </w:rPr>
      </w:r>
    </w:p>
    <w:p w:rsidR="00000000" w:rsidDel="00000000" w:rsidP="00000000" w:rsidRDefault="00000000" w:rsidRPr="00000000" w14:paraId="000000F9">
      <w:pPr>
        <w:spacing w:after="0" w:line="360" w:lineRule="auto"/>
        <w:ind w:firstLine="851"/>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highlight w:val="white"/>
          <w:rtl w:val="0"/>
        </w:rPr>
        <w:t xml:space="preserve">De acordo com o artigo 33, § 2º do Código Penal, às penas privativas de liberdade devem ser executadas de forma progressiva. Corroborando, a Lei de Execução Penal (7.210/84), no artigo 112 prevê a progressão de regime, que é a passagem do condenado do regime mais severo para o regime mais brando, a partir do cumprimento de dois requisitos: bom comportamento e cumprimento de determinada quantidade de pena.</w:t>
      </w:r>
      <w:r w:rsidDel="00000000" w:rsidR="00000000" w:rsidRPr="00000000">
        <w:rPr>
          <w:rtl w:val="0"/>
        </w:rPr>
      </w:r>
    </w:p>
    <w:p w:rsidR="00000000" w:rsidDel="00000000" w:rsidP="00000000" w:rsidRDefault="00000000" w:rsidRPr="00000000" w14:paraId="000000FA">
      <w:pPr>
        <w:spacing w:after="0" w:line="240" w:lineRule="auto"/>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FB">
      <w:pPr>
        <w:spacing w:after="0" w:line="240" w:lineRule="auto"/>
        <w:ind w:firstLine="851"/>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highlight w:val="white"/>
          <w:rtl w:val="0"/>
        </w:rPr>
        <w:t xml:space="preserve">Deste modo, Guilherme Souza Nucci (2022, p.318), destaca que:</w:t>
      </w:r>
      <w:r w:rsidDel="00000000" w:rsidR="00000000" w:rsidRPr="00000000">
        <w:rPr>
          <w:rtl w:val="0"/>
        </w:rPr>
      </w:r>
    </w:p>
    <w:p w:rsidR="00000000" w:rsidDel="00000000" w:rsidP="00000000" w:rsidRDefault="00000000" w:rsidRPr="00000000" w14:paraId="000000FC">
      <w:pPr>
        <w:spacing w:after="0" w:line="240" w:lineRule="auto"/>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FD">
      <w:pPr>
        <w:spacing w:after="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highlight w:val="white"/>
          <w:rtl w:val="0"/>
        </w:rPr>
        <w:t xml:space="preserve">A individualização executória da pena é consequência natural da adoção do princípio constitucional da individualização da pena. Esta se faz, como já mencionado, em três etapas: a individualização legislativa (fixação do mínimo e do máximo para a pena em abstrato no momento de criação da norma penal), a individualização judicial (momento de concretização da sanção penal na sentença) e a individualização executória (fase de aplicação efetiva da pena em estágios). Por isso, a progressão de regime, forma de incentivo à proposta estatal de reeducação e ressocialização do sentenciado, é decorrência natural da individualização executória.</w:t>
      </w:r>
      <w:r w:rsidDel="00000000" w:rsidR="00000000" w:rsidRPr="00000000">
        <w:rPr>
          <w:rtl w:val="0"/>
        </w:rPr>
      </w:r>
    </w:p>
    <w:p w:rsidR="00000000" w:rsidDel="00000000" w:rsidP="00000000" w:rsidRDefault="00000000" w:rsidRPr="00000000" w14:paraId="000000FE">
      <w:pPr>
        <w:spacing w:after="240" w:line="240" w:lineRule="auto"/>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FF">
      <w:pPr>
        <w:spacing w:after="0" w:line="360" w:lineRule="auto"/>
        <w:ind w:firstLine="851"/>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highlight w:val="white"/>
          <w:rtl w:val="0"/>
        </w:rPr>
        <w:t xml:space="preserve">No mesmo sentido, Gustavo Junqueira e Maria Patrícia Vanzolini (2022, p.262), ensina que:</w:t>
      </w:r>
      <w:r w:rsidDel="00000000" w:rsidR="00000000" w:rsidRPr="00000000">
        <w:rPr>
          <w:rtl w:val="0"/>
        </w:rPr>
      </w:r>
    </w:p>
    <w:p w:rsidR="00000000" w:rsidDel="00000000" w:rsidP="00000000" w:rsidRDefault="00000000" w:rsidRPr="00000000" w14:paraId="00000100">
      <w:pPr>
        <w:spacing w:after="0" w:line="240" w:lineRule="auto"/>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01">
      <w:pPr>
        <w:spacing w:after="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highlight w:val="white"/>
          <w:rtl w:val="0"/>
        </w:rPr>
        <w:t xml:space="preserve">A finalidade de reinserção social disposta no art. 1o da LEP tem como um de seus principais instrumentos a adoção do sistema progressivo, que promove a devolução gradativa da liberdade de acordo com a adesão do condenado ao projeto de integração contido na lei, ou seja, com a avaliação de seu mérito.</w:t>
      </w:r>
      <w:r w:rsidDel="00000000" w:rsidR="00000000" w:rsidRPr="00000000">
        <w:rPr>
          <w:rtl w:val="0"/>
        </w:rPr>
      </w:r>
    </w:p>
    <w:p w:rsidR="00000000" w:rsidDel="00000000" w:rsidP="00000000" w:rsidRDefault="00000000" w:rsidRPr="00000000" w14:paraId="00000102">
      <w:pPr>
        <w:spacing w:after="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highlight w:val="white"/>
          <w:rtl w:val="0"/>
        </w:rPr>
        <w:t xml:space="preserve">O sistema, inspirado na consagrada experiência de bonus and marks, permite a progressão e a regressão. Se o condenado atua de acordo com o programa de inserção social previsto na lei, ganha benesses, como a devolução gradativa de sua liberdade.</w:t>
      </w:r>
      <w:r w:rsidDel="00000000" w:rsidR="00000000" w:rsidRPr="00000000">
        <w:rPr>
          <w:rtl w:val="0"/>
        </w:rPr>
      </w:r>
    </w:p>
    <w:p w:rsidR="00000000" w:rsidDel="00000000" w:rsidP="00000000" w:rsidRDefault="00000000" w:rsidRPr="00000000" w14:paraId="00000103">
      <w:pPr>
        <w:spacing w:after="0" w:line="240" w:lineRule="auto"/>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04">
      <w:pPr>
        <w:spacing w:after="0" w:line="360" w:lineRule="auto"/>
        <w:ind w:firstLine="851"/>
        <w:jc w:val="both"/>
        <w:rPr>
          <w:rFonts w:ascii="Verdana" w:cs="Verdana" w:eastAsia="Verdana" w:hAnsi="Verdana"/>
          <w:color w:val="000000"/>
          <w:sz w:val="24"/>
          <w:szCs w:val="24"/>
          <w:highlight w:val="white"/>
        </w:rPr>
      </w:pPr>
      <w:r w:rsidDel="00000000" w:rsidR="00000000" w:rsidRPr="00000000">
        <w:rPr>
          <w:rFonts w:ascii="Verdana" w:cs="Verdana" w:eastAsia="Verdana" w:hAnsi="Verdana"/>
          <w:color w:val="000000"/>
          <w:sz w:val="24"/>
          <w:szCs w:val="24"/>
          <w:highlight w:val="white"/>
          <w:rtl w:val="0"/>
        </w:rPr>
        <w:t xml:space="preserve">De acordo com o caso apresentado, o acusado deixou a prisão há 04 (quatro) anos, pois cumpriu pena pelo crime de tráfico de drogas. </w:t>
      </w:r>
    </w:p>
    <w:p w:rsidR="00000000" w:rsidDel="00000000" w:rsidP="00000000" w:rsidRDefault="00000000" w:rsidRPr="00000000" w14:paraId="00000105">
      <w:pPr>
        <w:spacing w:after="0" w:line="360" w:lineRule="auto"/>
        <w:ind w:firstLine="851"/>
        <w:jc w:val="both"/>
        <w:rPr>
          <w:rFonts w:ascii="Verdana" w:cs="Verdana" w:eastAsia="Verdana" w:hAnsi="Verdana"/>
          <w:color w:val="000000"/>
          <w:sz w:val="24"/>
          <w:szCs w:val="24"/>
          <w:highlight w:val="white"/>
        </w:rPr>
      </w:pPr>
      <w:r w:rsidDel="00000000" w:rsidR="00000000" w:rsidRPr="00000000">
        <w:rPr>
          <w:rFonts w:ascii="Verdana" w:cs="Verdana" w:eastAsia="Verdana" w:hAnsi="Verdana"/>
          <w:color w:val="000000"/>
          <w:sz w:val="24"/>
          <w:szCs w:val="24"/>
          <w:highlight w:val="white"/>
          <w:rtl w:val="0"/>
        </w:rPr>
        <w:t xml:space="preserve">Outro ponto que merece destaque é que o crime de estupro de vulnerável é considerado hediondo, nos termos da lei 8.072/90 e, apesar do lapso temporal, não está prescrito, nos termos do artigo 111, inciso V, do Código Penal, que dispõe que a prescrição começa a correr, nos crimes contra a dignidade sexual, da data em que a vítima completar 18 (dezoito) anos:</w:t>
      </w:r>
    </w:p>
    <w:p w:rsidR="00000000" w:rsidDel="00000000" w:rsidP="00000000" w:rsidRDefault="00000000" w:rsidRPr="00000000" w14:paraId="00000106">
      <w:pPr>
        <w:spacing w:after="0" w:line="240" w:lineRule="auto"/>
        <w:ind w:left="2268" w:firstLine="0"/>
        <w:jc w:val="both"/>
        <w:rPr>
          <w:rFonts w:ascii="Verdana" w:cs="Verdana" w:eastAsia="Verdana" w:hAnsi="Verdana"/>
          <w:sz w:val="20"/>
          <w:szCs w:val="20"/>
          <w:highlight w:val="white"/>
        </w:rPr>
      </w:pPr>
      <w:r w:rsidDel="00000000" w:rsidR="00000000" w:rsidRPr="00000000">
        <w:rPr>
          <w:rFonts w:ascii="Verdana" w:cs="Verdana" w:eastAsia="Verdana" w:hAnsi="Verdana"/>
          <w:sz w:val="20"/>
          <w:szCs w:val="20"/>
          <w:highlight w:val="white"/>
          <w:rtl w:val="0"/>
        </w:rPr>
        <w:t xml:space="preserve">Art. 111 - A prescrição, antes de transitar em julgado a sentença final, começa a correr:  </w:t>
      </w:r>
      <w:hyperlink r:id="rId19">
        <w:r w:rsidDel="00000000" w:rsidR="00000000" w:rsidRPr="00000000">
          <w:rPr>
            <w:rFonts w:ascii="Verdana" w:cs="Verdana" w:eastAsia="Verdana" w:hAnsi="Verdana"/>
            <w:color w:val="000000"/>
            <w:sz w:val="20"/>
            <w:szCs w:val="20"/>
            <w:highlight w:val="white"/>
            <w:u w:val="single"/>
            <w:rtl w:val="0"/>
          </w:rPr>
          <w:t xml:space="preserve">(Redação dada pela Lei nº 7.209, de 11.7.1984)</w:t>
        </w:r>
      </w:hyperlink>
      <w:r w:rsidDel="00000000" w:rsidR="00000000" w:rsidRPr="00000000">
        <w:rPr>
          <w:rFonts w:ascii="Verdana" w:cs="Verdana" w:eastAsia="Verdana" w:hAnsi="Verdana"/>
          <w:sz w:val="20"/>
          <w:szCs w:val="20"/>
          <w:highlight w:val="white"/>
          <w:rtl w:val="0"/>
        </w:rPr>
        <w:t xml:space="preserve"> </w:t>
      </w:r>
    </w:p>
    <w:p w:rsidR="00000000" w:rsidDel="00000000" w:rsidP="00000000" w:rsidRDefault="00000000" w:rsidRPr="00000000" w14:paraId="00000107">
      <w:pPr>
        <w:spacing w:after="0" w:line="240" w:lineRule="auto"/>
        <w:ind w:left="2268" w:firstLine="0"/>
        <w:jc w:val="both"/>
        <w:rPr>
          <w:rFonts w:ascii="Verdana" w:cs="Verdana" w:eastAsia="Verdana" w:hAnsi="Verdana"/>
          <w:sz w:val="20"/>
          <w:szCs w:val="20"/>
        </w:rPr>
      </w:pPr>
      <w:r w:rsidDel="00000000" w:rsidR="00000000" w:rsidRPr="00000000">
        <w:rPr>
          <w:rFonts w:ascii="Verdana" w:cs="Verdana" w:eastAsia="Verdana" w:hAnsi="Verdana"/>
          <w:sz w:val="20"/>
          <w:szCs w:val="20"/>
          <w:highlight w:val="white"/>
          <w:rtl w:val="0"/>
        </w:rPr>
        <w:t xml:space="preserve"> V - nos crimes contra a dignidade sexual ou que envolvam violência contra a criança e o adolescente, previstos neste Código ou em legislação especial, da data em que a vítima completar 18 (dezoito) anos, salvo se a esse tempo já houver sido proposta a ação penal.        </w:t>
      </w:r>
      <w:hyperlink r:id="rId20">
        <w:r w:rsidDel="00000000" w:rsidR="00000000" w:rsidRPr="00000000">
          <w:rPr>
            <w:rFonts w:ascii="Verdana" w:cs="Verdana" w:eastAsia="Verdana" w:hAnsi="Verdana"/>
            <w:color w:val="000000"/>
            <w:sz w:val="20"/>
            <w:szCs w:val="20"/>
            <w:highlight w:val="white"/>
            <w:u w:val="single"/>
            <w:rtl w:val="0"/>
          </w:rPr>
          <w:t xml:space="preserve">(Redação dada pela Lei nº 14.344, de 2022)</w:t>
        </w:r>
      </w:hyperlink>
      <w:r w:rsidDel="00000000" w:rsidR="00000000" w:rsidRPr="00000000">
        <w:rPr>
          <w:rFonts w:ascii="Verdana" w:cs="Verdana" w:eastAsia="Verdana" w:hAnsi="Verdana"/>
          <w:sz w:val="20"/>
          <w:szCs w:val="20"/>
          <w:highlight w:val="white"/>
          <w:rtl w:val="0"/>
        </w:rPr>
        <w:t xml:space="preserve">     </w:t>
      </w:r>
      <w:hyperlink r:id="rId21">
        <w:r w:rsidDel="00000000" w:rsidR="00000000" w:rsidRPr="00000000">
          <w:rPr>
            <w:rFonts w:ascii="Verdana" w:cs="Verdana" w:eastAsia="Verdana" w:hAnsi="Verdana"/>
            <w:color w:val="000000"/>
            <w:sz w:val="20"/>
            <w:szCs w:val="20"/>
            <w:highlight w:val="white"/>
            <w:u w:val="single"/>
            <w:rtl w:val="0"/>
          </w:rPr>
          <w:t xml:space="preserve">Vigência</w:t>
        </w:r>
      </w:hyperlink>
      <w:r w:rsidDel="00000000" w:rsidR="00000000" w:rsidRPr="00000000">
        <w:rPr>
          <w:rtl w:val="0"/>
        </w:rPr>
      </w:r>
    </w:p>
    <w:p w:rsidR="00000000" w:rsidDel="00000000" w:rsidP="00000000" w:rsidRDefault="00000000" w:rsidRPr="00000000" w14:paraId="00000108">
      <w:pPr>
        <w:spacing w:after="0" w:line="240" w:lineRule="auto"/>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09">
      <w:pPr>
        <w:spacing w:after="0" w:line="360" w:lineRule="auto"/>
        <w:ind w:firstLine="851"/>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highlight w:val="white"/>
          <w:rtl w:val="0"/>
        </w:rPr>
        <w:t xml:space="preserve">Para consolidar a resposta acerca do questionamento da consulente, se faz necessária a abordagem quanto às diversas modificações legislativas quanto à progressão de regime, em especial sobre o pacote anticrime.</w:t>
      </w:r>
      <w:r w:rsidDel="00000000" w:rsidR="00000000" w:rsidRPr="00000000">
        <w:rPr>
          <w:rtl w:val="0"/>
        </w:rPr>
      </w:r>
    </w:p>
    <w:p w:rsidR="00000000" w:rsidDel="00000000" w:rsidP="00000000" w:rsidRDefault="00000000" w:rsidRPr="00000000" w14:paraId="0000010A">
      <w:pPr>
        <w:spacing w:after="0" w:line="360" w:lineRule="auto"/>
        <w:ind w:firstLine="851"/>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highlight w:val="white"/>
          <w:rtl w:val="0"/>
        </w:rPr>
        <w:t xml:space="preserve">Porém, apesar das diversas modificações operadas pela Lei 13.964/19, não houve alteração no que tange a progressão de regime, havendo possibilidade de progressão de regime, em seu próprio texto, na lei dos crimes hediondos e na lei de execução penal, concluindo que há possibilidade de progressão de regime.</w:t>
      </w:r>
      <w:r w:rsidDel="00000000" w:rsidR="00000000" w:rsidRPr="00000000">
        <w:rPr>
          <w:rtl w:val="0"/>
        </w:rPr>
      </w:r>
    </w:p>
    <w:p w:rsidR="00000000" w:rsidDel="00000000" w:rsidP="00000000" w:rsidRDefault="00000000" w:rsidRPr="00000000" w14:paraId="0000010B">
      <w:pPr>
        <w:spacing w:after="0" w:line="360" w:lineRule="auto"/>
        <w:ind w:firstLine="851"/>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highlight w:val="white"/>
          <w:rtl w:val="0"/>
        </w:rPr>
        <w:t xml:space="preserve">Como demonstra a tabela abaixo, extraída do livro Manual de Direito Penal (JUNQUEIRA, 2021, p.262), em que pesem as alterações legislativas, a possibilidade da progressão de regime permanece inalterada:</w:t>
      </w:r>
      <w:r w:rsidDel="00000000" w:rsidR="00000000" w:rsidRPr="00000000">
        <w:rPr>
          <w:rtl w:val="0"/>
        </w:rPr>
      </w:r>
    </w:p>
    <w:p w:rsidR="00000000" w:rsidDel="00000000" w:rsidP="00000000" w:rsidRDefault="00000000" w:rsidRPr="00000000" w14:paraId="0000010C">
      <w:pPr>
        <w:spacing w:after="0" w:line="240" w:lineRule="auto"/>
        <w:ind w:firstLine="720"/>
        <w:jc w:val="both"/>
        <w:rPr>
          <w:rFonts w:ascii="Verdana" w:cs="Verdana" w:eastAsia="Verdana" w:hAnsi="Verdana"/>
          <w:sz w:val="24"/>
          <w:szCs w:val="24"/>
        </w:rPr>
      </w:pPr>
      <w:r w:rsidDel="00000000" w:rsidR="00000000" w:rsidRPr="00000000">
        <w:rPr>
          <w:rtl w:val="0"/>
        </w:rPr>
      </w:r>
    </w:p>
    <w:tbl>
      <w:tblPr>
        <w:tblStyle w:val="Table4"/>
        <w:tblW w:w="9010.0" w:type="dxa"/>
        <w:jc w:val="left"/>
        <w:tblLayout w:type="fixed"/>
        <w:tblLook w:val="0400"/>
      </w:tblPr>
      <w:tblGrid>
        <w:gridCol w:w="4558"/>
        <w:gridCol w:w="4452"/>
        <w:tblGridChange w:id="0">
          <w:tblGrid>
            <w:gridCol w:w="4558"/>
            <w:gridCol w:w="4452"/>
          </w:tblGrid>
        </w:tblGridChange>
      </w:tblGrid>
      <w:tr>
        <w:trPr>
          <w:cantSplit w:val="0"/>
          <w:trHeight w:val="564" w:hRule="atLeast"/>
          <w:tblHeader w:val="0"/>
        </w:trPr>
        <w:tc>
          <w:tcPr>
            <w:tcBorders>
              <w:top w:color="706f6f" w:space="0" w:sz="6" w:val="single"/>
              <w:left w:color="000000" w:space="0" w:sz="6" w:val="single"/>
              <w:bottom w:color="575756" w:space="0" w:sz="6" w:val="single"/>
              <w:right w:color="000000" w:space="0" w:sz="6" w:val="single"/>
            </w:tcBorders>
            <w:shd w:fill="dadada" w:val="clear"/>
            <w:tcMar>
              <w:top w:w="120.0" w:type="dxa"/>
              <w:left w:w="120.0" w:type="dxa"/>
              <w:bottom w:w="120.0" w:type="dxa"/>
              <w:right w:w="120.0" w:type="dxa"/>
            </w:tcMar>
          </w:tcPr>
          <w:p w:rsidR="00000000" w:rsidDel="00000000" w:rsidP="00000000" w:rsidRDefault="00000000" w:rsidRPr="00000000" w14:paraId="0000010D">
            <w:pPr>
              <w:spacing w:after="220" w:before="220" w:line="240" w:lineRule="auto"/>
              <w:jc w:val="center"/>
              <w:rPr>
                <w:rFonts w:ascii="Verdana" w:cs="Verdana" w:eastAsia="Verdana" w:hAnsi="Verdana"/>
                <w:sz w:val="20"/>
                <w:szCs w:val="20"/>
              </w:rPr>
            </w:pPr>
            <w:r w:rsidDel="00000000" w:rsidR="00000000" w:rsidRPr="00000000">
              <w:rPr>
                <w:rFonts w:ascii="Verdana" w:cs="Verdana" w:eastAsia="Verdana" w:hAnsi="Verdana"/>
                <w:b w:val="1"/>
                <w:color w:val="000000"/>
                <w:sz w:val="20"/>
                <w:szCs w:val="20"/>
                <w:highlight w:val="white"/>
                <w:rtl w:val="0"/>
              </w:rPr>
              <w:t xml:space="preserve">Antiga redação</w:t>
            </w:r>
            <w:r w:rsidDel="00000000" w:rsidR="00000000" w:rsidRPr="00000000">
              <w:rPr>
                <w:rtl w:val="0"/>
              </w:rPr>
            </w:r>
          </w:p>
        </w:tc>
        <w:tc>
          <w:tcPr>
            <w:tcBorders>
              <w:top w:color="706f6f" w:space="0" w:sz="6" w:val="single"/>
              <w:left w:color="000000" w:space="0" w:sz="6" w:val="single"/>
              <w:bottom w:color="575756" w:space="0" w:sz="6" w:val="single"/>
              <w:right w:color="000000" w:space="0" w:sz="6" w:val="single"/>
            </w:tcBorders>
            <w:shd w:fill="dadada" w:val="clear"/>
            <w:tcMar>
              <w:top w:w="120.0" w:type="dxa"/>
              <w:left w:w="120.0" w:type="dxa"/>
              <w:bottom w:w="120.0" w:type="dxa"/>
              <w:right w:w="120.0" w:type="dxa"/>
            </w:tcMar>
          </w:tcPr>
          <w:p w:rsidR="00000000" w:rsidDel="00000000" w:rsidP="00000000" w:rsidRDefault="00000000" w:rsidRPr="00000000" w14:paraId="0000010E">
            <w:pPr>
              <w:spacing w:after="220" w:before="220" w:line="240" w:lineRule="auto"/>
              <w:jc w:val="center"/>
              <w:rPr>
                <w:rFonts w:ascii="Verdana" w:cs="Verdana" w:eastAsia="Verdana" w:hAnsi="Verdana"/>
                <w:sz w:val="20"/>
                <w:szCs w:val="20"/>
              </w:rPr>
            </w:pPr>
            <w:r w:rsidDel="00000000" w:rsidR="00000000" w:rsidRPr="00000000">
              <w:rPr>
                <w:rFonts w:ascii="Verdana" w:cs="Verdana" w:eastAsia="Verdana" w:hAnsi="Verdana"/>
                <w:b w:val="1"/>
                <w:color w:val="000000"/>
                <w:sz w:val="20"/>
                <w:szCs w:val="20"/>
                <w:highlight w:val="white"/>
                <w:rtl w:val="0"/>
              </w:rPr>
              <w:t xml:space="preserve">Nova redação</w:t>
            </w:r>
            <w:r w:rsidDel="00000000" w:rsidR="00000000" w:rsidRPr="00000000">
              <w:rPr>
                <w:rtl w:val="0"/>
              </w:rPr>
            </w:r>
          </w:p>
        </w:tc>
      </w:tr>
      <w:tr>
        <w:trPr>
          <w:cantSplit w:val="0"/>
          <w:trHeight w:val="793" w:hRule="atLeast"/>
          <w:tblHeader w:val="0"/>
        </w:trPr>
        <w:tc>
          <w:tcPr>
            <w:tcBorders>
              <w:top w:color="575756" w:space="0" w:sz="6" w:val="single"/>
              <w:left w:color="000000" w:space="0" w:sz="6" w:val="single"/>
              <w:bottom w:color="575756" w:space="0" w:sz="6" w:val="single"/>
              <w:right w:color="000000" w:space="0" w:sz="6" w:val="single"/>
            </w:tcBorders>
            <w:tcMar>
              <w:top w:w="120.0" w:type="dxa"/>
              <w:left w:w="120.0" w:type="dxa"/>
              <w:bottom w:w="120.0" w:type="dxa"/>
              <w:right w:w="120.0" w:type="dxa"/>
            </w:tcMar>
          </w:tcPr>
          <w:p w:rsidR="00000000" w:rsidDel="00000000" w:rsidP="00000000" w:rsidRDefault="00000000" w:rsidRPr="00000000" w14:paraId="0000010F">
            <w:pPr>
              <w:spacing w:after="280" w:before="220" w:line="240" w:lineRule="auto"/>
              <w:jc w:val="both"/>
              <w:rPr>
                <w:rFonts w:ascii="Verdana" w:cs="Verdana" w:eastAsia="Verdana" w:hAnsi="Verdana"/>
                <w:sz w:val="20"/>
                <w:szCs w:val="20"/>
              </w:rPr>
            </w:pPr>
            <w:r w:rsidDel="00000000" w:rsidR="00000000" w:rsidRPr="00000000">
              <w:rPr>
                <w:rFonts w:ascii="Verdana" w:cs="Verdana" w:eastAsia="Verdana" w:hAnsi="Verdana"/>
                <w:color w:val="000000"/>
                <w:sz w:val="20"/>
                <w:szCs w:val="20"/>
                <w:highlight w:val="white"/>
                <w:rtl w:val="0"/>
              </w:rPr>
              <w:t xml:space="preserve">Art. 112. A pena privativa de liberdade será executada em forma progressiva com a transferência para regime menos rigoroso, a ser determinada pelo juiz, quando o preso tiver cumprido ao menos um sexto da pena no regime anterior e ostentar bom comportamento carcerário, comprovado pelo diretor do estabelecimento, respeitadas as normas que vedam a progressão</w:t>
            </w:r>
            <w:r w:rsidDel="00000000" w:rsidR="00000000" w:rsidRPr="00000000">
              <w:rPr>
                <w:rtl w:val="0"/>
              </w:rPr>
            </w:r>
          </w:p>
          <w:p w:rsidR="00000000" w:rsidDel="00000000" w:rsidP="00000000" w:rsidRDefault="00000000" w:rsidRPr="00000000" w14:paraId="00000110">
            <w:pPr>
              <w:spacing w:after="280" w:before="220" w:line="240" w:lineRule="auto"/>
              <w:jc w:val="both"/>
              <w:rPr>
                <w:rFonts w:ascii="Verdana" w:cs="Verdana" w:eastAsia="Verdana" w:hAnsi="Verdana"/>
                <w:sz w:val="20"/>
                <w:szCs w:val="20"/>
              </w:rPr>
            </w:pPr>
            <w:r w:rsidDel="00000000" w:rsidR="00000000" w:rsidRPr="00000000">
              <w:rPr>
                <w:rFonts w:ascii="Verdana" w:cs="Verdana" w:eastAsia="Verdana" w:hAnsi="Verdana"/>
                <w:color w:val="000000"/>
                <w:sz w:val="20"/>
                <w:szCs w:val="20"/>
                <w:highlight w:val="white"/>
                <w:rtl w:val="0"/>
              </w:rPr>
              <w:t xml:space="preserve">§ 1º A decisão será sempre motivada e precedida de manifestação do Ministério Público e do defensor</w:t>
            </w:r>
            <w:r w:rsidDel="00000000" w:rsidR="00000000" w:rsidRPr="00000000">
              <w:rPr>
                <w:rtl w:val="0"/>
              </w:rPr>
            </w:r>
          </w:p>
          <w:p w:rsidR="00000000" w:rsidDel="00000000" w:rsidP="00000000" w:rsidRDefault="00000000" w:rsidRPr="00000000" w14:paraId="00000111">
            <w:pPr>
              <w:spacing w:after="280" w:before="220" w:line="240" w:lineRule="auto"/>
              <w:jc w:val="both"/>
              <w:rPr>
                <w:rFonts w:ascii="Verdana" w:cs="Verdana" w:eastAsia="Verdana" w:hAnsi="Verdana"/>
                <w:sz w:val="20"/>
                <w:szCs w:val="20"/>
              </w:rPr>
            </w:pPr>
            <w:r w:rsidDel="00000000" w:rsidR="00000000" w:rsidRPr="00000000">
              <w:rPr>
                <w:rFonts w:ascii="Verdana" w:cs="Verdana" w:eastAsia="Verdana" w:hAnsi="Verdana"/>
                <w:color w:val="000000"/>
                <w:sz w:val="20"/>
                <w:szCs w:val="20"/>
                <w:highlight w:val="white"/>
                <w:rtl w:val="0"/>
              </w:rPr>
              <w:t xml:space="preserve">§ 2º Idêntico procedimento será adotado na concessão de livramento condicional, indulto e comutação de penas, respeitados os prazos previstos nas normas vigentes.</w:t>
            </w:r>
            <w:r w:rsidDel="00000000" w:rsidR="00000000" w:rsidRPr="00000000">
              <w:rPr>
                <w:rtl w:val="0"/>
              </w:rPr>
            </w:r>
          </w:p>
          <w:p w:rsidR="00000000" w:rsidDel="00000000" w:rsidP="00000000" w:rsidRDefault="00000000" w:rsidRPr="00000000" w14:paraId="00000112">
            <w:pPr>
              <w:spacing w:after="280" w:before="220" w:line="240" w:lineRule="auto"/>
              <w:jc w:val="both"/>
              <w:rPr>
                <w:rFonts w:ascii="Verdana" w:cs="Verdana" w:eastAsia="Verdana" w:hAnsi="Verdana"/>
                <w:sz w:val="20"/>
                <w:szCs w:val="20"/>
              </w:rPr>
            </w:pPr>
            <w:r w:rsidDel="00000000" w:rsidR="00000000" w:rsidRPr="00000000">
              <w:rPr>
                <w:rFonts w:ascii="Verdana" w:cs="Verdana" w:eastAsia="Verdana" w:hAnsi="Verdana"/>
                <w:color w:val="000000"/>
                <w:sz w:val="20"/>
                <w:szCs w:val="20"/>
                <w:highlight w:val="white"/>
                <w:rtl w:val="0"/>
              </w:rPr>
              <w:t xml:space="preserve">§ 3º No caso de mulher gestante ou que for mãe ou responsável por crianças ou pessoas com deficiência, os requisitos para progressão de regime são, cumulativamente:</w:t>
            </w:r>
            <w:r w:rsidDel="00000000" w:rsidR="00000000" w:rsidRPr="00000000">
              <w:rPr>
                <w:rtl w:val="0"/>
              </w:rPr>
            </w:r>
          </w:p>
          <w:p w:rsidR="00000000" w:rsidDel="00000000" w:rsidP="00000000" w:rsidRDefault="00000000" w:rsidRPr="00000000" w14:paraId="00000113">
            <w:pPr>
              <w:spacing w:after="280" w:before="220" w:line="240" w:lineRule="auto"/>
              <w:jc w:val="both"/>
              <w:rPr>
                <w:rFonts w:ascii="Verdana" w:cs="Verdana" w:eastAsia="Verdana" w:hAnsi="Verdana"/>
                <w:color w:val="000000"/>
                <w:sz w:val="20"/>
                <w:szCs w:val="20"/>
                <w:highlight w:val="white"/>
              </w:rPr>
            </w:pPr>
            <w:r w:rsidDel="00000000" w:rsidR="00000000" w:rsidRPr="00000000">
              <w:rPr>
                <w:rFonts w:ascii="Verdana" w:cs="Verdana" w:eastAsia="Verdana" w:hAnsi="Verdana"/>
                <w:color w:val="000000"/>
                <w:sz w:val="20"/>
                <w:szCs w:val="20"/>
                <w:highlight w:val="white"/>
                <w:rtl w:val="0"/>
              </w:rPr>
              <w:t xml:space="preserve">I – não ter cometido crime com violência ou grave ameaça a pessoa;</w:t>
            </w:r>
          </w:p>
          <w:p w:rsidR="00000000" w:rsidDel="00000000" w:rsidP="00000000" w:rsidRDefault="00000000" w:rsidRPr="00000000" w14:paraId="00000114">
            <w:pPr>
              <w:spacing w:after="280" w:before="220" w:line="240" w:lineRule="auto"/>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II – não ter cometido o crime contra seu filho ou dependente;</w:t>
            </w:r>
          </w:p>
          <w:p w:rsidR="00000000" w:rsidDel="00000000" w:rsidP="00000000" w:rsidRDefault="00000000" w:rsidRPr="00000000" w14:paraId="00000115">
            <w:pPr>
              <w:spacing w:after="280" w:before="220" w:line="240" w:lineRule="auto"/>
              <w:jc w:val="both"/>
              <w:rPr>
                <w:rFonts w:ascii="Verdana" w:cs="Verdana" w:eastAsia="Verdana" w:hAnsi="Verdana"/>
                <w:sz w:val="20"/>
                <w:szCs w:val="20"/>
              </w:rPr>
            </w:pPr>
            <w:r w:rsidDel="00000000" w:rsidR="00000000" w:rsidRPr="00000000">
              <w:rPr>
                <w:rtl w:val="0"/>
              </w:rPr>
            </w:r>
          </w:p>
          <w:p w:rsidR="00000000" w:rsidDel="00000000" w:rsidP="00000000" w:rsidRDefault="00000000" w:rsidRPr="00000000" w14:paraId="00000116">
            <w:pPr>
              <w:spacing w:after="280" w:before="220" w:line="240" w:lineRule="auto"/>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III – ter cumprido ao menos 1/8 (um oitavo) da pena no regime anterior;</w:t>
            </w:r>
          </w:p>
          <w:p w:rsidR="00000000" w:rsidDel="00000000" w:rsidP="00000000" w:rsidRDefault="00000000" w:rsidRPr="00000000" w14:paraId="00000117">
            <w:pPr>
              <w:spacing w:after="280" w:before="220" w:line="240" w:lineRule="auto"/>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IV – ser primária e ter bom comportamento carcerário, comprovado pelo diretor do estabelecimento;</w:t>
            </w:r>
          </w:p>
          <w:p w:rsidR="00000000" w:rsidDel="00000000" w:rsidP="00000000" w:rsidRDefault="00000000" w:rsidRPr="00000000" w14:paraId="00000118">
            <w:pPr>
              <w:spacing w:after="280" w:before="220" w:line="240" w:lineRule="auto"/>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V – não ter integrado organização criminosa;</w:t>
            </w:r>
          </w:p>
          <w:p w:rsidR="00000000" w:rsidDel="00000000" w:rsidP="00000000" w:rsidRDefault="00000000" w:rsidRPr="00000000" w14:paraId="00000119">
            <w:pPr>
              <w:spacing w:after="280" w:before="220" w:line="240" w:lineRule="auto"/>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 4o O cometimento de novo crime doloso ou falta grave implicará a revogação do benefício previsto no § 3o deste artigo.</w:t>
            </w:r>
          </w:p>
        </w:tc>
        <w:tc>
          <w:tcPr>
            <w:tcBorders>
              <w:top w:color="575756" w:space="0" w:sz="6" w:val="single"/>
              <w:left w:color="000000" w:space="0" w:sz="6" w:val="single"/>
              <w:bottom w:color="575756" w:space="0" w:sz="6" w:val="single"/>
              <w:right w:color="000000" w:space="0" w:sz="6" w:val="single"/>
            </w:tcBorders>
            <w:tcMar>
              <w:top w:w="120.0" w:type="dxa"/>
              <w:left w:w="120.0" w:type="dxa"/>
              <w:bottom w:w="120.0" w:type="dxa"/>
              <w:right w:w="120.0" w:type="dxa"/>
            </w:tcMar>
          </w:tcPr>
          <w:p w:rsidR="00000000" w:rsidDel="00000000" w:rsidP="00000000" w:rsidRDefault="00000000" w:rsidRPr="00000000" w14:paraId="0000011A">
            <w:pPr>
              <w:spacing w:after="260" w:before="220" w:line="240" w:lineRule="auto"/>
              <w:jc w:val="both"/>
              <w:rPr>
                <w:rFonts w:ascii="Verdana" w:cs="Verdana" w:eastAsia="Verdana" w:hAnsi="Verdana"/>
                <w:sz w:val="20"/>
                <w:szCs w:val="20"/>
              </w:rPr>
            </w:pPr>
            <w:r w:rsidDel="00000000" w:rsidR="00000000" w:rsidRPr="00000000">
              <w:rPr>
                <w:rFonts w:ascii="Verdana" w:cs="Verdana" w:eastAsia="Verdana" w:hAnsi="Verdana"/>
                <w:color w:val="000000"/>
                <w:sz w:val="20"/>
                <w:szCs w:val="20"/>
                <w:highlight w:val="white"/>
                <w:rtl w:val="0"/>
              </w:rPr>
              <w:t xml:space="preserve">Art. 112. A pena privativa de liberdade será executada em forma progressiva com a transferência para regime menos rigoroso, a ser determinada pelo juiz, quando o preso tiver cumprido ao menos:</w:t>
            </w:r>
            <w:r w:rsidDel="00000000" w:rsidR="00000000" w:rsidRPr="00000000">
              <w:rPr>
                <w:rtl w:val="0"/>
              </w:rPr>
            </w:r>
          </w:p>
          <w:p w:rsidR="00000000" w:rsidDel="00000000" w:rsidP="00000000" w:rsidRDefault="00000000" w:rsidRPr="00000000" w14:paraId="0000011B">
            <w:pPr>
              <w:spacing w:after="260" w:before="220" w:line="240" w:lineRule="auto"/>
              <w:jc w:val="both"/>
              <w:rPr>
                <w:rFonts w:ascii="Verdana" w:cs="Verdana" w:eastAsia="Verdana" w:hAnsi="Verdana"/>
                <w:sz w:val="20"/>
                <w:szCs w:val="20"/>
              </w:rPr>
            </w:pPr>
            <w:r w:rsidDel="00000000" w:rsidR="00000000" w:rsidRPr="00000000">
              <w:rPr>
                <w:rFonts w:ascii="Verdana" w:cs="Verdana" w:eastAsia="Verdana" w:hAnsi="Verdana"/>
                <w:color w:val="000000"/>
                <w:sz w:val="20"/>
                <w:szCs w:val="20"/>
                <w:highlight w:val="white"/>
                <w:rtl w:val="0"/>
              </w:rPr>
              <w:t xml:space="preserve">I – 16% (dezesseis por cento) da pena, se o apenado for primário e o crime tiver sido cometido sem violência à pessoa ou grave ameaça;</w:t>
            </w:r>
            <w:r w:rsidDel="00000000" w:rsidR="00000000" w:rsidRPr="00000000">
              <w:rPr>
                <w:rtl w:val="0"/>
              </w:rPr>
            </w:r>
          </w:p>
          <w:p w:rsidR="00000000" w:rsidDel="00000000" w:rsidP="00000000" w:rsidRDefault="00000000" w:rsidRPr="00000000" w14:paraId="0000011C">
            <w:pPr>
              <w:spacing w:after="260" w:before="220" w:line="240" w:lineRule="auto"/>
              <w:jc w:val="both"/>
              <w:rPr>
                <w:rFonts w:ascii="Verdana" w:cs="Verdana" w:eastAsia="Verdana" w:hAnsi="Verdana"/>
                <w:sz w:val="20"/>
                <w:szCs w:val="20"/>
              </w:rPr>
            </w:pPr>
            <w:r w:rsidDel="00000000" w:rsidR="00000000" w:rsidRPr="00000000">
              <w:rPr>
                <w:rFonts w:ascii="Verdana" w:cs="Verdana" w:eastAsia="Verdana" w:hAnsi="Verdana"/>
                <w:color w:val="000000"/>
                <w:sz w:val="20"/>
                <w:szCs w:val="20"/>
                <w:highlight w:val="white"/>
                <w:rtl w:val="0"/>
              </w:rPr>
              <w:t xml:space="preserve">II – 20% (vinte por cento) da pena, se o apenado for reincidente em crime cometido sem violência à pessoa ou grave ameaça;</w:t>
            </w:r>
            <w:r w:rsidDel="00000000" w:rsidR="00000000" w:rsidRPr="00000000">
              <w:rPr>
                <w:rtl w:val="0"/>
              </w:rPr>
            </w:r>
          </w:p>
          <w:p w:rsidR="00000000" w:rsidDel="00000000" w:rsidP="00000000" w:rsidRDefault="00000000" w:rsidRPr="00000000" w14:paraId="0000011D">
            <w:pPr>
              <w:spacing w:after="260" w:before="220" w:line="240" w:lineRule="auto"/>
              <w:jc w:val="both"/>
              <w:rPr>
                <w:rFonts w:ascii="Verdana" w:cs="Verdana" w:eastAsia="Verdana" w:hAnsi="Verdana"/>
                <w:sz w:val="20"/>
                <w:szCs w:val="20"/>
              </w:rPr>
            </w:pPr>
            <w:r w:rsidDel="00000000" w:rsidR="00000000" w:rsidRPr="00000000">
              <w:rPr>
                <w:rFonts w:ascii="Verdana" w:cs="Verdana" w:eastAsia="Verdana" w:hAnsi="Verdana"/>
                <w:color w:val="000000"/>
                <w:sz w:val="20"/>
                <w:szCs w:val="20"/>
                <w:highlight w:val="white"/>
                <w:rtl w:val="0"/>
              </w:rPr>
              <w:t xml:space="preserve">III – 25% (vinte e cinco por cento) da pena, se o apenado for primário e o crime tiver sido cometido com violência à pessoa ou grave ameaça;</w:t>
            </w:r>
            <w:r w:rsidDel="00000000" w:rsidR="00000000" w:rsidRPr="00000000">
              <w:rPr>
                <w:rtl w:val="0"/>
              </w:rPr>
            </w:r>
          </w:p>
          <w:p w:rsidR="00000000" w:rsidDel="00000000" w:rsidP="00000000" w:rsidRDefault="00000000" w:rsidRPr="00000000" w14:paraId="0000011E">
            <w:pPr>
              <w:spacing w:after="260" w:before="220" w:line="240" w:lineRule="auto"/>
              <w:jc w:val="both"/>
              <w:rPr>
                <w:rFonts w:ascii="Verdana" w:cs="Verdana" w:eastAsia="Verdana" w:hAnsi="Verdana"/>
                <w:sz w:val="20"/>
                <w:szCs w:val="20"/>
              </w:rPr>
            </w:pPr>
            <w:r w:rsidDel="00000000" w:rsidR="00000000" w:rsidRPr="00000000">
              <w:rPr>
                <w:rFonts w:ascii="Verdana" w:cs="Verdana" w:eastAsia="Verdana" w:hAnsi="Verdana"/>
                <w:color w:val="000000"/>
                <w:sz w:val="20"/>
                <w:szCs w:val="20"/>
                <w:highlight w:val="white"/>
                <w:rtl w:val="0"/>
              </w:rPr>
              <w:t xml:space="preserve">IV – 30% (trinta por cento) da pena, se o apenado for reincidente em crime cometido com violência à pessoa ou grave ameaça;</w:t>
            </w:r>
            <w:r w:rsidDel="00000000" w:rsidR="00000000" w:rsidRPr="00000000">
              <w:rPr>
                <w:rtl w:val="0"/>
              </w:rPr>
            </w:r>
          </w:p>
          <w:p w:rsidR="00000000" w:rsidDel="00000000" w:rsidP="00000000" w:rsidRDefault="00000000" w:rsidRPr="00000000" w14:paraId="0000011F">
            <w:pPr>
              <w:spacing w:after="260" w:before="220" w:line="240" w:lineRule="auto"/>
              <w:jc w:val="both"/>
              <w:rPr>
                <w:rFonts w:ascii="Verdana" w:cs="Verdana" w:eastAsia="Verdana" w:hAnsi="Verdana"/>
                <w:sz w:val="20"/>
                <w:szCs w:val="20"/>
              </w:rPr>
            </w:pPr>
            <w:r w:rsidDel="00000000" w:rsidR="00000000" w:rsidRPr="00000000">
              <w:rPr>
                <w:rFonts w:ascii="Verdana" w:cs="Verdana" w:eastAsia="Verdana" w:hAnsi="Verdana"/>
                <w:color w:val="000000"/>
                <w:sz w:val="20"/>
                <w:szCs w:val="20"/>
                <w:highlight w:val="white"/>
                <w:rtl w:val="0"/>
              </w:rPr>
              <w:t xml:space="preserve">V – 40% (quarenta por cento) da pena, se o apenado for condenado pela prática de crime hediondo ou equiparado, se for primário;</w:t>
            </w:r>
            <w:r w:rsidDel="00000000" w:rsidR="00000000" w:rsidRPr="00000000">
              <w:rPr>
                <w:rtl w:val="0"/>
              </w:rPr>
            </w:r>
          </w:p>
          <w:p w:rsidR="00000000" w:rsidDel="00000000" w:rsidP="00000000" w:rsidRDefault="00000000" w:rsidRPr="00000000" w14:paraId="00000120">
            <w:pPr>
              <w:spacing w:after="260" w:before="220" w:line="240" w:lineRule="auto"/>
              <w:jc w:val="both"/>
              <w:rPr>
                <w:rFonts w:ascii="Verdana" w:cs="Verdana" w:eastAsia="Verdana" w:hAnsi="Verdana"/>
                <w:sz w:val="20"/>
                <w:szCs w:val="20"/>
              </w:rPr>
            </w:pPr>
            <w:r w:rsidDel="00000000" w:rsidR="00000000" w:rsidRPr="00000000">
              <w:rPr>
                <w:rFonts w:ascii="Verdana" w:cs="Verdana" w:eastAsia="Verdana" w:hAnsi="Verdana"/>
                <w:color w:val="000000"/>
                <w:sz w:val="20"/>
                <w:szCs w:val="20"/>
                <w:highlight w:val="white"/>
                <w:rtl w:val="0"/>
              </w:rPr>
              <w:t xml:space="preserve">VI – 50% (cinquenta por cento) da pena, se o apenado for:</w:t>
            </w:r>
            <w:r w:rsidDel="00000000" w:rsidR="00000000" w:rsidRPr="00000000">
              <w:rPr>
                <w:rtl w:val="0"/>
              </w:rPr>
            </w:r>
          </w:p>
          <w:p w:rsidR="00000000" w:rsidDel="00000000" w:rsidP="00000000" w:rsidRDefault="00000000" w:rsidRPr="00000000" w14:paraId="00000121">
            <w:pPr>
              <w:spacing w:after="260" w:before="220" w:line="240" w:lineRule="auto"/>
              <w:jc w:val="both"/>
              <w:rPr>
                <w:rFonts w:ascii="Verdana" w:cs="Verdana" w:eastAsia="Verdana" w:hAnsi="Verdana"/>
                <w:color w:val="000000"/>
                <w:sz w:val="20"/>
                <w:szCs w:val="20"/>
                <w:highlight w:val="white"/>
              </w:rPr>
            </w:pPr>
            <w:r w:rsidDel="00000000" w:rsidR="00000000" w:rsidRPr="00000000">
              <w:rPr>
                <w:rFonts w:ascii="Verdana" w:cs="Verdana" w:eastAsia="Verdana" w:hAnsi="Verdana"/>
                <w:color w:val="000000"/>
                <w:sz w:val="20"/>
                <w:szCs w:val="20"/>
                <w:highlight w:val="white"/>
                <w:rtl w:val="0"/>
              </w:rPr>
              <w:t xml:space="preserve">a) condenado pela prática de crime hediondo ou equiparado, com resultado morte, se for primário, vedado o livramento condicional;             </w:t>
            </w:r>
          </w:p>
          <w:p w:rsidR="00000000" w:rsidDel="00000000" w:rsidP="00000000" w:rsidRDefault="00000000" w:rsidRPr="00000000" w14:paraId="00000122">
            <w:pPr>
              <w:spacing w:after="260" w:before="220" w:line="240" w:lineRule="auto"/>
              <w:jc w:val="both"/>
              <w:rPr>
                <w:rFonts w:ascii="Verdana" w:cs="Verdana" w:eastAsia="Verdana" w:hAnsi="Verdana"/>
                <w:color w:val="000000"/>
                <w:sz w:val="20"/>
                <w:szCs w:val="20"/>
                <w:highlight w:val="white"/>
              </w:rPr>
            </w:pPr>
            <w:r w:rsidDel="00000000" w:rsidR="00000000" w:rsidRPr="00000000">
              <w:rPr>
                <w:rFonts w:ascii="Verdana" w:cs="Verdana" w:eastAsia="Verdana" w:hAnsi="Verdana"/>
                <w:color w:val="000000"/>
                <w:sz w:val="20"/>
                <w:szCs w:val="20"/>
                <w:highlight w:val="white"/>
                <w:rtl w:val="0"/>
              </w:rPr>
              <w:t xml:space="preserve">b) condenado por exercer o comando, individual ou coletivo, de organização criminosa estruturada para a prática de crime hediondo ou equiparado; ou</w:t>
            </w:r>
          </w:p>
          <w:p w:rsidR="00000000" w:rsidDel="00000000" w:rsidP="00000000" w:rsidRDefault="00000000" w:rsidRPr="00000000" w14:paraId="00000123">
            <w:pPr>
              <w:spacing w:after="260" w:before="220" w:line="240" w:lineRule="auto"/>
              <w:jc w:val="both"/>
              <w:rPr>
                <w:rFonts w:ascii="Verdana" w:cs="Verdana" w:eastAsia="Verdana" w:hAnsi="Verdana"/>
                <w:color w:val="000000"/>
                <w:sz w:val="20"/>
                <w:szCs w:val="20"/>
                <w:highlight w:val="white"/>
              </w:rPr>
            </w:pPr>
            <w:r w:rsidDel="00000000" w:rsidR="00000000" w:rsidRPr="00000000">
              <w:rPr>
                <w:rFonts w:ascii="Verdana" w:cs="Verdana" w:eastAsia="Verdana" w:hAnsi="Verdana"/>
                <w:color w:val="000000"/>
                <w:sz w:val="20"/>
                <w:szCs w:val="20"/>
                <w:highlight w:val="white"/>
                <w:rtl w:val="0"/>
              </w:rPr>
              <w:t xml:space="preserve">c) condenado pela prática do crime de constituição de milícia privada;</w:t>
            </w:r>
          </w:p>
          <w:p w:rsidR="00000000" w:rsidDel="00000000" w:rsidP="00000000" w:rsidRDefault="00000000" w:rsidRPr="00000000" w14:paraId="00000124">
            <w:pPr>
              <w:spacing w:after="260" w:before="220" w:line="240" w:lineRule="auto"/>
              <w:jc w:val="both"/>
              <w:rPr>
                <w:rFonts w:ascii="Verdana" w:cs="Verdana" w:eastAsia="Verdana" w:hAnsi="Verdana"/>
                <w:color w:val="000000"/>
                <w:sz w:val="20"/>
                <w:szCs w:val="20"/>
                <w:highlight w:val="white"/>
              </w:rPr>
            </w:pPr>
            <w:r w:rsidDel="00000000" w:rsidR="00000000" w:rsidRPr="00000000">
              <w:rPr>
                <w:rFonts w:ascii="Verdana" w:cs="Verdana" w:eastAsia="Verdana" w:hAnsi="Verdana"/>
                <w:color w:val="000000"/>
                <w:sz w:val="20"/>
                <w:szCs w:val="20"/>
                <w:highlight w:val="white"/>
                <w:rtl w:val="0"/>
              </w:rPr>
              <w:t xml:space="preserve">VII – 60% (sessenta por cento) da pena, se o apenado for reincidente na prática de crime hediondo ou equiparado;</w:t>
            </w:r>
          </w:p>
          <w:p w:rsidR="00000000" w:rsidDel="00000000" w:rsidP="00000000" w:rsidRDefault="00000000" w:rsidRPr="00000000" w14:paraId="00000125">
            <w:pPr>
              <w:spacing w:after="260" w:before="220" w:line="240" w:lineRule="auto"/>
              <w:jc w:val="both"/>
              <w:rPr>
                <w:rFonts w:ascii="Verdana" w:cs="Verdana" w:eastAsia="Verdana" w:hAnsi="Verdana"/>
                <w:color w:val="000000"/>
                <w:sz w:val="20"/>
                <w:szCs w:val="20"/>
                <w:highlight w:val="white"/>
              </w:rPr>
            </w:pPr>
            <w:r w:rsidDel="00000000" w:rsidR="00000000" w:rsidRPr="00000000">
              <w:rPr>
                <w:rFonts w:ascii="Verdana" w:cs="Verdana" w:eastAsia="Verdana" w:hAnsi="Verdana"/>
                <w:color w:val="000000"/>
                <w:sz w:val="20"/>
                <w:szCs w:val="20"/>
                <w:highlight w:val="white"/>
                <w:rtl w:val="0"/>
              </w:rPr>
              <w:t xml:space="preserve">VIII – 70% (setenta por cento) da pena, se o apenado for reincidente em crime hediondo ou equiparado com resultado morte, vedado o livramento condicional.</w:t>
            </w:r>
          </w:p>
          <w:p w:rsidR="00000000" w:rsidDel="00000000" w:rsidP="00000000" w:rsidRDefault="00000000" w:rsidRPr="00000000" w14:paraId="00000126">
            <w:pPr>
              <w:spacing w:after="260" w:before="220" w:line="240" w:lineRule="auto"/>
              <w:jc w:val="both"/>
              <w:rPr>
                <w:rFonts w:ascii="Verdana" w:cs="Verdana" w:eastAsia="Verdana" w:hAnsi="Verdana"/>
                <w:color w:val="000000"/>
                <w:sz w:val="20"/>
                <w:szCs w:val="20"/>
                <w:highlight w:val="white"/>
              </w:rPr>
            </w:pPr>
            <w:r w:rsidDel="00000000" w:rsidR="00000000" w:rsidRPr="00000000">
              <w:rPr>
                <w:rFonts w:ascii="Verdana" w:cs="Verdana" w:eastAsia="Verdana" w:hAnsi="Verdana"/>
                <w:color w:val="000000"/>
                <w:sz w:val="20"/>
                <w:szCs w:val="20"/>
                <w:highlight w:val="white"/>
                <w:rtl w:val="0"/>
              </w:rPr>
              <w:t xml:space="preserve">§ 1o Em todos os casos, o apenado só terá direito à progressão de regime se ostentar boa conduta carcerária, comprovada pelo diretor do estabelecimento, respeitadas as normas que vedam a progressão.</w:t>
            </w:r>
          </w:p>
          <w:p w:rsidR="00000000" w:rsidDel="00000000" w:rsidP="00000000" w:rsidRDefault="00000000" w:rsidRPr="00000000" w14:paraId="00000127">
            <w:pPr>
              <w:spacing w:after="260" w:before="220" w:line="240" w:lineRule="auto"/>
              <w:jc w:val="both"/>
              <w:rPr>
                <w:rFonts w:ascii="Verdana" w:cs="Verdana" w:eastAsia="Verdana" w:hAnsi="Verdana"/>
                <w:color w:val="000000"/>
                <w:sz w:val="20"/>
                <w:szCs w:val="20"/>
                <w:highlight w:val="white"/>
              </w:rPr>
            </w:pPr>
            <w:r w:rsidDel="00000000" w:rsidR="00000000" w:rsidRPr="00000000">
              <w:rPr>
                <w:rFonts w:ascii="Verdana" w:cs="Verdana" w:eastAsia="Verdana" w:hAnsi="Verdana"/>
                <w:color w:val="000000"/>
                <w:sz w:val="20"/>
                <w:szCs w:val="20"/>
                <w:highlight w:val="white"/>
                <w:rtl w:val="0"/>
              </w:rPr>
              <w:t xml:space="preserve">§ 2o A decisão do juiz que determinar a progressão de regime será sempre motivada e precedida de manifestação do Ministério Público e do defensor, procedimento que também será adotado na concessão de livramento condicional, indulto e comutação de penas, respeitados os prazos previstos nas normas vigentes.</w:t>
            </w:r>
          </w:p>
          <w:p w:rsidR="00000000" w:rsidDel="00000000" w:rsidP="00000000" w:rsidRDefault="00000000" w:rsidRPr="00000000" w14:paraId="00000128">
            <w:pPr>
              <w:spacing w:after="260" w:before="220" w:line="240" w:lineRule="auto"/>
              <w:jc w:val="both"/>
              <w:rPr>
                <w:rFonts w:ascii="Verdana" w:cs="Verdana" w:eastAsia="Verdana" w:hAnsi="Verdana"/>
                <w:color w:val="000000"/>
                <w:sz w:val="20"/>
                <w:szCs w:val="20"/>
                <w:highlight w:val="white"/>
              </w:rPr>
            </w:pPr>
            <w:r w:rsidDel="00000000" w:rsidR="00000000" w:rsidRPr="00000000">
              <w:rPr>
                <w:rFonts w:ascii="Verdana" w:cs="Verdana" w:eastAsia="Verdana" w:hAnsi="Verdana"/>
                <w:color w:val="000000"/>
                <w:sz w:val="20"/>
                <w:szCs w:val="20"/>
                <w:highlight w:val="white"/>
                <w:rtl w:val="0"/>
              </w:rPr>
              <w:t xml:space="preserve">§ 5o Não se considera hediondo ou equiparado, para os fins deste artigo, o crime de tráfico de drogas previsto no § 4o do art. 33 da Lei n. 11.343, de 23 de agosto de 2006.</w:t>
            </w:r>
          </w:p>
          <w:p w:rsidR="00000000" w:rsidDel="00000000" w:rsidP="00000000" w:rsidRDefault="00000000" w:rsidRPr="00000000" w14:paraId="00000129">
            <w:pPr>
              <w:spacing w:after="260" w:before="220" w:line="240" w:lineRule="auto"/>
              <w:jc w:val="both"/>
              <w:rPr>
                <w:rFonts w:ascii="Verdana" w:cs="Verdana" w:eastAsia="Verdana" w:hAnsi="Verdana"/>
                <w:color w:val="000000"/>
                <w:sz w:val="20"/>
                <w:szCs w:val="20"/>
                <w:highlight w:val="white"/>
              </w:rPr>
            </w:pPr>
            <w:r w:rsidDel="00000000" w:rsidR="00000000" w:rsidRPr="00000000">
              <w:rPr>
                <w:rFonts w:ascii="Verdana" w:cs="Verdana" w:eastAsia="Verdana" w:hAnsi="Verdana"/>
                <w:color w:val="000000"/>
                <w:sz w:val="20"/>
                <w:szCs w:val="20"/>
                <w:highlight w:val="white"/>
                <w:rtl w:val="0"/>
              </w:rPr>
              <w:t xml:space="preserve">§ 6o O cometimento de falta grave durante a execução da pena privativa de liberdade interrompe o prazo para a obtenção da progressão no regime de cumprimento da pena, caso em que o reinício da contagem do requisito objetivo terá como base a pena remanescente.</w:t>
            </w:r>
          </w:p>
        </w:tc>
      </w:tr>
    </w:tbl>
    <w:p w:rsidR="00000000" w:rsidDel="00000000" w:rsidP="00000000" w:rsidRDefault="00000000" w:rsidRPr="00000000" w14:paraId="0000012A">
      <w:pPr>
        <w:spacing w:after="0" w:line="240" w:lineRule="auto"/>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2B">
      <w:pPr>
        <w:spacing w:after="0" w:line="360" w:lineRule="auto"/>
        <w:ind w:firstLine="851"/>
        <w:jc w:val="both"/>
        <w:rPr>
          <w:rFonts w:ascii="Verdana" w:cs="Verdana" w:eastAsia="Verdana" w:hAnsi="Verdana"/>
          <w:color w:val="000000"/>
          <w:sz w:val="24"/>
          <w:szCs w:val="24"/>
          <w:highlight w:val="white"/>
        </w:rPr>
      </w:pPr>
      <w:r w:rsidDel="00000000" w:rsidR="00000000" w:rsidRPr="00000000">
        <w:rPr>
          <w:rFonts w:ascii="Verdana" w:cs="Verdana" w:eastAsia="Verdana" w:hAnsi="Verdana"/>
          <w:color w:val="000000"/>
          <w:sz w:val="24"/>
          <w:szCs w:val="24"/>
          <w:highlight w:val="white"/>
          <w:rtl w:val="0"/>
        </w:rPr>
        <w:t xml:space="preserve">Da leitura e estudo das legislações mencionadas, houve alteração apenas do percentual, isto é, da quantidade de pena que deverá ser cumprida para que condenado passe de um regime mais grave para um regime mais brando. </w:t>
      </w:r>
    </w:p>
    <w:p w:rsidR="00000000" w:rsidDel="00000000" w:rsidP="00000000" w:rsidRDefault="00000000" w:rsidRPr="00000000" w14:paraId="0000012C">
      <w:pPr>
        <w:spacing w:after="0" w:line="360" w:lineRule="auto"/>
        <w:ind w:firstLine="851"/>
        <w:jc w:val="both"/>
        <w:rPr>
          <w:rFonts w:ascii="Verdana" w:cs="Verdana" w:eastAsia="Verdana" w:hAnsi="Verdana"/>
          <w:color w:val="000000"/>
          <w:sz w:val="24"/>
          <w:szCs w:val="24"/>
          <w:highlight w:val="white"/>
        </w:rPr>
      </w:pPr>
      <w:r w:rsidDel="00000000" w:rsidR="00000000" w:rsidRPr="00000000">
        <w:rPr>
          <w:rFonts w:ascii="Verdana" w:cs="Verdana" w:eastAsia="Verdana" w:hAnsi="Verdana"/>
          <w:sz w:val="24"/>
          <w:szCs w:val="24"/>
          <w:highlight w:val="white"/>
          <w:rtl w:val="0"/>
        </w:rPr>
        <w:t xml:space="preserve">O Tribunal de Justiça</w:t>
      </w:r>
      <w:r w:rsidDel="00000000" w:rsidR="00000000" w:rsidRPr="00000000">
        <w:rPr>
          <w:rFonts w:ascii="Verdana" w:cs="Verdana" w:eastAsia="Verdana" w:hAnsi="Verdana"/>
          <w:sz w:val="24"/>
          <w:szCs w:val="24"/>
          <w:rtl w:val="0"/>
        </w:rPr>
        <w:t xml:space="preserve"> de São Paulo, demonstra o entendimento acerca do percentual da pena a ser cumprida para progressão de regime, vejamos: </w:t>
      </w:r>
      <w:r w:rsidDel="00000000" w:rsidR="00000000" w:rsidRPr="00000000">
        <w:rPr>
          <w:rtl w:val="0"/>
        </w:rPr>
      </w:r>
    </w:p>
    <w:p w:rsidR="00000000" w:rsidDel="00000000" w:rsidP="00000000" w:rsidRDefault="00000000" w:rsidRPr="00000000" w14:paraId="0000012D">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240" w:lineRule="auto"/>
        <w:ind w:left="2268" w:right="0" w:firstLine="0"/>
        <w:jc w:val="left"/>
        <w:rPr>
          <w:rFonts w:ascii="Verdana" w:cs="Verdana" w:eastAsia="Verdana" w:hAnsi="Verdana"/>
          <w:b w:val="0"/>
          <w:i w:val="0"/>
          <w:smallCaps w:val="0"/>
          <w:strike w:val="0"/>
          <w:color w:val="000000"/>
          <w:sz w:val="20"/>
          <w:szCs w:val="20"/>
          <w:u w:val="none"/>
          <w:shd w:fill="auto" w:val="clear"/>
          <w:vertAlign w:val="baseline"/>
        </w:rPr>
      </w:pPr>
      <w:sdt>
        <w:sdtPr>
          <w:tag w:val="goog_rdk_9"/>
        </w:sdtPr>
        <w:sdtContent>
          <w:commentRangeStart w:id="9"/>
        </w:sdtContent>
      </w:sdt>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AGRAVO EM EXECUÇÃO PENAL. PROGRESSÃO DE REGIME DO REINCIDENTE CONDENADO POR CRIME HEDIONDO. EXEGESE DO ART. 112, VII, DA LEP. APLICAÇÃO AOS REINCIDENTES SIMPLES E ESPECÍFICOS. POSSIBILIDADE. AGRAVO MINISTERIAL PROVIDO. 1. Consoante melhor exegese do artigo 112, VII, da LEP, a progressão de regime para os condenados por crime hediondo dar-se-á, se o sentenciado for reincidente, após o cumprimento de 60% da pena corporal, ainda que a reincidência não seja específica em crime hediondo ou equiparado. Precedentes do TJSP. 2. Embora o artigo 112, VII, da LEP, possa – numa descuidada interpretação – levar o intérprete a concluir que o requisito objetivo de 60% da pena corporal se restrinja aos reincidentes específicos em crime hediondo ou equiparado, não é possível conceber que a mens legis da Lei nº 13.964/09 – que, dentre outras alterações, passou a exigir maior tempo para a progressão de regime conforme a gravidade do crime praticado ou eventual reincidência do agente – tenha sido abrandar o lapso temporal de progressão de regime para os agentes reincidentes simples que foram condenados por crime hediondo. 3. Assim, mostra-se imperiosa a retificação do cálculo de penas, a fim de considerar o lapso temporal de sessenta por cento para a progressão de regime, já que o sentenciado, condenado por crime hediondo, é reincidente. 4. Agravo ministerial provido, para determinar a retificação do cálculo de penas do sentenciado Vinícius Alves da Silva, devendo ser considerado, quanto ao crime equiparado a hediondo, o lapso temporal de 60% para progressão de regime.</w:t>
      </w:r>
    </w:p>
    <w:p w:rsidR="00000000" w:rsidDel="00000000" w:rsidP="00000000" w:rsidRDefault="00000000" w:rsidRPr="00000000" w14:paraId="0000012E">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240" w:lineRule="auto"/>
        <w:ind w:left="2268" w:right="0" w:firstLine="0"/>
        <w:jc w:val="left"/>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(TJ-SP - EP: 00010698420218260502 SP </w:t>
      </w:r>
      <w:commentRangeEnd w:id="9"/>
      <w:r w:rsidDel="00000000" w:rsidR="00000000" w:rsidRPr="00000000">
        <w:commentReference w:id="9"/>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0001069-84.2021.8.26.0502, Relator: Gilda Alves Barbosa Diodatti, Data de Julgamento: 06/04/2021, 15ª Câmara de Direito Criminal, Data de Publicação: 06/04/2021)</w:t>
      </w:r>
    </w:p>
    <w:p w:rsidR="00000000" w:rsidDel="00000000" w:rsidP="00000000" w:rsidRDefault="00000000" w:rsidRPr="00000000" w14:paraId="0000012F">
      <w:pPr>
        <w:spacing w:after="0" w:line="360" w:lineRule="auto"/>
        <w:ind w:firstLine="851"/>
        <w:jc w:val="both"/>
        <w:rPr>
          <w:rFonts w:ascii="Verdana" w:cs="Verdana" w:eastAsia="Verdana" w:hAnsi="Verdana"/>
          <w:color w:val="000000"/>
          <w:sz w:val="24"/>
          <w:szCs w:val="24"/>
          <w:highlight w:val="white"/>
        </w:rPr>
      </w:pPr>
      <w:r w:rsidDel="00000000" w:rsidR="00000000" w:rsidRPr="00000000">
        <w:rPr>
          <w:rtl w:val="0"/>
        </w:rPr>
      </w:r>
    </w:p>
    <w:p w:rsidR="00000000" w:rsidDel="00000000" w:rsidP="00000000" w:rsidRDefault="00000000" w:rsidRPr="00000000" w14:paraId="00000130">
      <w:pPr>
        <w:spacing w:after="0" w:line="360" w:lineRule="auto"/>
        <w:ind w:firstLine="851"/>
        <w:jc w:val="both"/>
        <w:rPr>
          <w:rFonts w:ascii="Verdana" w:cs="Verdana" w:eastAsia="Verdana" w:hAnsi="Verdana"/>
          <w:color w:val="000000"/>
          <w:sz w:val="24"/>
          <w:szCs w:val="24"/>
          <w:highlight w:val="white"/>
        </w:rPr>
      </w:pPr>
      <w:r w:rsidDel="00000000" w:rsidR="00000000" w:rsidRPr="00000000">
        <w:rPr>
          <w:rFonts w:ascii="Verdana" w:cs="Verdana" w:eastAsia="Verdana" w:hAnsi="Verdana"/>
          <w:sz w:val="24"/>
          <w:szCs w:val="24"/>
          <w:highlight w:val="white"/>
          <w:rtl w:val="0"/>
        </w:rPr>
        <w:t xml:space="preserve">Neste sentido, o Tribunal de Justiça do Mato Grosso do Sul, em seu entendimento jurisprudencial, assevera:  </w:t>
      </w:r>
      <w:r w:rsidDel="00000000" w:rsidR="00000000" w:rsidRPr="00000000">
        <w:rPr>
          <w:rtl w:val="0"/>
        </w:rPr>
      </w:r>
    </w:p>
    <w:p w:rsidR="00000000" w:rsidDel="00000000" w:rsidP="00000000" w:rsidRDefault="00000000" w:rsidRPr="00000000" w14:paraId="00000131">
      <w:pPr>
        <w:spacing w:after="0" w:line="240" w:lineRule="auto"/>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32">
      <w:pPr>
        <w:shd w:fill="ffffff" w:val="clear"/>
        <w:spacing w:after="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highlight w:val="white"/>
          <w:rtl w:val="0"/>
        </w:rPr>
        <w:t xml:space="preserve">AGRAVO EM EXECUÇÃO – REQUISITO OBJETIVO NECESSÁRIO PARA PROGRESSÃO PRISIONAL – EXECUÇÃO DECORRENTE DE PENAS DERIVADAS DE CRIMES COMUNS E DE OUTRO EQUIPARADO A HEDIONDO – AUSÊNCIA DE REINCIDÊNCIA ESPECÍFICA PELOS DELITOS LISTADOS NA LEI N. 8.072/90 – NOVA REDAÇÃO DO ART. 112 DA LEP – OBSERVÂNCIA DO PERCENTUAL DE 40% – PRECEDENTES DO STJ – RECURSO IMPROVIDO. I - Conforme jurisprudência pacífica do c. STJ, a alteração promovida pela Lei n. 13.964/2019 (Pacote Anti Crime) no art. 112 da Lei de Execucoes Penais, ao estabelecer novos lapsos para a progressão de regime, deixou de abranger a situação característica do paciente (condenado por crime hediondo e reincidente não específico), de maneira que não há como aplicar de forma extensiva e prejudicial ao paciente o percentual de 60% previsto no inciso VII do art. 112 da LEP, que trata sobre os casos de reincidência de crime hediondo ou equiparado, merecendo, ante a omissão legislativa, o uso da analogia in bonam partem para aplicar o percentual de 40%" (AgRg-HC 628.769; Proc. 2020/0310675-5; SP; Sexta Turma; Rel. Min. Antonio Saldanha Palheiro; Julg. 15/12/2020; DJE 18/12/2020). II - Recurso ministerial improvido.</w:t>
      </w:r>
      <w:r w:rsidDel="00000000" w:rsidR="00000000" w:rsidRPr="00000000">
        <w:rPr>
          <w:rtl w:val="0"/>
        </w:rPr>
      </w:r>
    </w:p>
    <w:p w:rsidR="00000000" w:rsidDel="00000000" w:rsidP="00000000" w:rsidRDefault="00000000" w:rsidRPr="00000000" w14:paraId="00000133">
      <w:pPr>
        <w:shd w:fill="ffffff" w:val="clear"/>
        <w:spacing w:after="240" w:line="240" w:lineRule="auto"/>
        <w:ind w:left="2268" w:firstLine="0"/>
        <w:jc w:val="both"/>
        <w:rPr>
          <w:rFonts w:ascii="Verdana" w:cs="Verdana" w:eastAsia="Verdana" w:hAnsi="Verdana"/>
          <w:color w:val="000000"/>
          <w:sz w:val="20"/>
          <w:szCs w:val="20"/>
          <w:highlight w:val="white"/>
        </w:rPr>
      </w:pPr>
      <w:r w:rsidDel="00000000" w:rsidR="00000000" w:rsidRPr="00000000">
        <w:rPr>
          <w:rFonts w:ascii="Verdana" w:cs="Verdana" w:eastAsia="Verdana" w:hAnsi="Verdana"/>
          <w:color w:val="000000"/>
          <w:sz w:val="20"/>
          <w:szCs w:val="20"/>
          <w:highlight w:val="white"/>
          <w:rtl w:val="0"/>
        </w:rPr>
        <w:t xml:space="preserve">(TJ-MS - EP: 00009793420198120018 MS 0000979-34.2019.8.12.0018, Relator: Des. Emerson Cafure, Data de Julgamento: 08/06/2021, 1ª Câmara Criminal, Data de Publicação: 15/06/2021)</w:t>
      </w:r>
    </w:p>
    <w:p w:rsidR="00000000" w:rsidDel="00000000" w:rsidP="00000000" w:rsidRDefault="00000000" w:rsidRPr="00000000" w14:paraId="00000134">
      <w:pPr>
        <w:shd w:fill="ffffff" w:val="clear"/>
        <w:spacing w:after="240" w:line="360" w:lineRule="auto"/>
        <w:ind w:firstLine="851"/>
        <w:jc w:val="both"/>
        <w:rPr>
          <w:rFonts w:ascii="Verdana" w:cs="Verdana" w:eastAsia="Verdana" w:hAnsi="Verdana"/>
          <w:sz w:val="24"/>
          <w:szCs w:val="24"/>
        </w:rPr>
      </w:pPr>
      <w:r w:rsidDel="00000000" w:rsidR="00000000" w:rsidRPr="00000000">
        <w:rPr>
          <w:rFonts w:ascii="Verdana" w:cs="Verdana" w:eastAsia="Verdana" w:hAnsi="Verdana"/>
          <w:sz w:val="24"/>
          <w:szCs w:val="24"/>
          <w:highlight w:val="white"/>
          <w:rtl w:val="0"/>
        </w:rPr>
        <w:t xml:space="preserve">Segundo o entendimento sobre o assunto, a jurisprudência do Superior Tribunal de Justiça, que exalta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135">
      <w:pPr>
        <w:shd w:fill="ffffff" w:val="clear"/>
        <w:spacing w:after="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highlight w:val="white"/>
          <w:rtl w:val="0"/>
        </w:rPr>
        <w:t xml:space="preserve">AGRAVO REGIMENTAL NO HABEAS CORPUS. IRRESIGNAÇÃO MINISTERIAL. OFENSA AO PRINCÍPIO DA COLEGIALIDADE. INOCORRÊNCIA. PREVISÃO DE JULGAMENTO EM DECISÃO MONOCRÁTICA NO ORDENAMENTO JURÍDICO. LEI 13.964/2019 (PACOTE ANTICRIME). PROGRESSÃO DE REGIME. PACIENTE CUMPRINDO PENA POR ROUBO MAJORADO E CONDENADO ANTERIORMENTE POR FURTO E TRÁFICO DE DROGAS. REINCIDÊNCIA EM CRIME COMUM. HIPÓTESE NÃO ABARCADA PELA NOVATIO LEGIS. ANALOGIA IN BONAM PARTEM. CUMPRIMENTO DE 40% DA PENA. ORIENTAÇÃO REVISTA. AGRAVO REGIMENTAL IMPROVIDO. 1. Segundo reiterada manifestação desta Corte, não viola o princípio da colegialidade a decisão monocrática do Relator calcada em jurisprudência dominante do Superior Tribunal de Justiça, tendo em vista a possibilidade de submissão do julgado ao exame do Órgão Colegiado, mediante a interposição de agravo regimental. [..] (AgRg no HC 650.370/RS, Rel. Ministra LAURITA VAZ, SEXTA TURMA, julgado em 13/04/2021, DJe 29/04/2021). 2. Com a entrada em vigor da Lei 13.964/19 - Pacote Anticrime -, foi revogado expressamente o art. 2º, § 2º, da Lei n. 8.072/90 (art. 19 da Lei n. 13.964/19), passando a progressão de regime, na Lei de Crimes Hediondos, a ser regida pela Lei n. 7.210/84. 3. A nova redação dada ao art. 112 da Lei de Execução Penal modificou por completo a sistemática, introduzindo critérios e percentuais distintos e específicos para cada grupo, a depender especialmente da natureza do delito. 4. No caso, o paciente cumpre pena por crime de roubo majorado, cometido antes da entrada vigor da Lei n. 13.969/19, mas foi condenado anteriormente pelos crimes de furto simples, furto qualificado e por um crime hediondo, o tráfico de drogas. Para tal hipótese, inexiste na novatio legis percentual a disciplinar a progressão de regime ora pretendida, pois os percentuais de 60% e 70% foram destinados aos reincidentes específicos em crimes hediondos ou equiparados. 5. Em direito penal não é permitido o uso de interpretação extensiva, para prejudicar o réu, devendo a integração da norma se operar mediante a analogia in bonam partem. Princípios aplicáveis: Legalidade das penas, Retroatividade benéfica e in dubio pro reo - A lei penal deve ser interpretada restritivamente quando prejudicial ao réu, e extensivamente no caso contrário (favorablia sunt amplianda, odiosa restringenda) - in NÉLSON HUNGRIA, Comentários ao Código Penal, v. I, t. I, p. 86. Doutrina: HUMBERTO BARRIONUEVO FABRETTI e GIANPAOLO POGGIO SMANIO, Comentário ao Pacote Anticrime, Ed. Atlas, 2020; RENATO BRASILEIRO DE LIMA. Pacote Anticrime: Comentários à Lei 13.964/19, Ed. JusPodivm, 2020; PAULO QUEIROZ, A nova progressão de regime - Lei 13.964/2019, https://www.pauloqueiroz.net; ROGÉRIO SANCHES CUNHA, Pacote Anticrime: Lei n. 13.964/2019 - Comentários às alterações no CP, CPP e LEP. Salvador: Editora JusPodvim, 2020; e PEDRO TENÓRIO SOARES VIEIRA TAVARES e ESTÁCIO LUIZ GAMA LIMA NETTO; NETTO LIMA, Pacote Anticrime: As modificações no sistema de justiça criminal brasileiro. e-book, 2020. Precedentes: HC n 581.315/PR, Rel. Min. SEBASTIÃO REIS JÚNIOR e HC n. 607.190/SP, Rel. Ministro NEFI CORDEIRO, SEXTA TURMA, ambos julgados em 06/10/2020. 6. Agravo regimental a que se nega provimento.</w:t>
      </w:r>
      <w:r w:rsidDel="00000000" w:rsidR="00000000" w:rsidRPr="00000000">
        <w:rPr>
          <w:rtl w:val="0"/>
        </w:rPr>
      </w:r>
    </w:p>
    <w:p w:rsidR="00000000" w:rsidDel="00000000" w:rsidP="00000000" w:rsidRDefault="00000000" w:rsidRPr="00000000" w14:paraId="00000136">
      <w:pPr>
        <w:shd w:fill="ffffff" w:val="clear"/>
        <w:spacing w:after="24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highlight w:val="white"/>
          <w:rtl w:val="0"/>
        </w:rPr>
        <w:t xml:space="preserve">(STJ - AgRg no HC: 668879 SP 2021/0159039-3, Relator: Ministro REYNALDO SOARES DA FONSECA, Data de Julgamento: 15/06/2021, T5 - QUINTA TURMA, Data de Publicação: DJe 21/06/2021)</w:t>
      </w:r>
      <w:r w:rsidDel="00000000" w:rsidR="00000000" w:rsidRPr="00000000">
        <w:rPr>
          <w:rtl w:val="0"/>
        </w:rPr>
      </w:r>
    </w:p>
    <w:p w:rsidR="00000000" w:rsidDel="00000000" w:rsidP="00000000" w:rsidRDefault="00000000" w:rsidRPr="00000000" w14:paraId="00000137">
      <w:pPr>
        <w:spacing w:after="0" w:line="360" w:lineRule="auto"/>
        <w:ind w:firstLine="851"/>
        <w:jc w:val="both"/>
        <w:rPr>
          <w:rFonts w:ascii="Verdana" w:cs="Verdana" w:eastAsia="Verdana" w:hAnsi="Verdana"/>
          <w:sz w:val="24"/>
          <w:szCs w:val="24"/>
        </w:rPr>
      </w:pPr>
      <w:sdt>
        <w:sdtPr>
          <w:tag w:val="goog_rdk_10"/>
        </w:sdtPr>
        <w:sdtContent>
          <w:commentRangeStart w:id="10"/>
        </w:sdtContent>
      </w:sdt>
      <w:r w:rsidDel="00000000" w:rsidR="00000000" w:rsidRPr="00000000">
        <w:rPr>
          <w:rFonts w:ascii="Verdana" w:cs="Verdana" w:eastAsia="Verdana" w:hAnsi="Verdana"/>
          <w:color w:val="000000"/>
          <w:sz w:val="24"/>
          <w:szCs w:val="24"/>
          <w:highlight w:val="white"/>
          <w:rtl w:val="0"/>
        </w:rPr>
        <w:t xml:space="preserve">Desse modo, se Sergio Lorota for condenado, não cumprirá integralmente a pena em regime fechado, diante da possibilidade da progressão de regime, após o cumprimento do percentual de 60% (sessenta por cento) da pena, de acordo com o artigo 112 da Lei de Execução Penal com redação da Lei do Pacote Anticrime.</w:t>
      </w:r>
      <w:commentRangeEnd w:id="10"/>
      <w:r w:rsidDel="00000000" w:rsidR="00000000" w:rsidRPr="00000000">
        <w:commentReference w:id="10"/>
      </w:r>
      <w:r w:rsidDel="00000000" w:rsidR="00000000" w:rsidRPr="00000000">
        <w:rPr>
          <w:rtl w:val="0"/>
        </w:rPr>
      </w:r>
    </w:p>
    <w:p w:rsidR="00000000" w:rsidDel="00000000" w:rsidP="00000000" w:rsidRDefault="00000000" w:rsidRPr="00000000" w14:paraId="00000138">
      <w:pPr>
        <w:spacing w:after="0" w:line="360" w:lineRule="auto"/>
        <w:ind w:firstLine="72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39">
      <w:pPr>
        <w:spacing w:after="0" w:line="240" w:lineRule="auto"/>
        <w:ind w:firstLine="72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3A">
      <w:pPr>
        <w:shd w:fill="ffffff" w:val="clear"/>
        <w:spacing w:after="0" w:before="240" w:line="360" w:lineRule="auto"/>
        <w:ind w:firstLine="720"/>
        <w:jc w:val="center"/>
        <w:rPr>
          <w:rFonts w:ascii="Verdana" w:cs="Verdana" w:eastAsia="Verdana" w:hAnsi="Verdana"/>
          <w:b w:val="1"/>
          <w:color w:val="202124"/>
          <w:sz w:val="24"/>
          <w:szCs w:val="24"/>
          <w:highlight w:val="white"/>
        </w:rPr>
      </w:pPr>
      <w:r w:rsidDel="00000000" w:rsidR="00000000" w:rsidRPr="00000000">
        <w:rPr>
          <w:rFonts w:ascii="Verdana" w:cs="Verdana" w:eastAsia="Verdana" w:hAnsi="Verdana"/>
          <w:b w:val="1"/>
          <w:color w:val="202124"/>
          <w:sz w:val="24"/>
          <w:szCs w:val="24"/>
          <w:highlight w:val="white"/>
          <w:rtl w:val="0"/>
        </w:rPr>
        <w:t xml:space="preserve">RECURSO ADESIVO – DIREITO PROCESSUAL CIVIL</w:t>
      </w:r>
    </w:p>
    <w:p w:rsidR="00000000" w:rsidDel="00000000" w:rsidP="00000000" w:rsidRDefault="00000000" w:rsidRPr="00000000" w14:paraId="0000013B">
      <w:pPr>
        <w:shd w:fill="ffffff" w:val="clear"/>
        <w:spacing w:after="0" w:before="240" w:line="360" w:lineRule="auto"/>
        <w:ind w:firstLine="851"/>
        <w:jc w:val="both"/>
        <w:rPr>
          <w:rFonts w:ascii="Verdana" w:cs="Verdana" w:eastAsia="Verdana" w:hAnsi="Verdana"/>
          <w:sz w:val="24"/>
          <w:szCs w:val="24"/>
          <w:highlight w:val="white"/>
        </w:rPr>
      </w:pPr>
      <w:r w:rsidDel="00000000" w:rsidR="00000000" w:rsidRPr="00000000">
        <w:rPr>
          <w:rFonts w:ascii="Verdana" w:cs="Verdana" w:eastAsia="Verdana" w:hAnsi="Verdana"/>
          <w:sz w:val="24"/>
          <w:szCs w:val="24"/>
          <w:highlight w:val="white"/>
          <w:rtl w:val="0"/>
        </w:rPr>
        <w:t xml:space="preserve">Diante do fato narrado, no que se refere ao Direito Processual Civil, é importante destacar que, apesar da perda de prazo para a interposição do recurso por parte da financeira, ela ainda pode valer-se do chamado </w:t>
      </w:r>
      <w:r w:rsidDel="00000000" w:rsidR="00000000" w:rsidRPr="00000000">
        <w:rPr>
          <w:rFonts w:ascii="Verdana" w:cs="Verdana" w:eastAsia="Verdana" w:hAnsi="Verdana"/>
          <w:b w:val="1"/>
          <w:sz w:val="24"/>
          <w:szCs w:val="24"/>
          <w:highlight w:val="white"/>
          <w:u w:val="single"/>
          <w:rtl w:val="0"/>
        </w:rPr>
        <w:t xml:space="preserve">Recurso Adesivo</w:t>
      </w:r>
      <w:r w:rsidDel="00000000" w:rsidR="00000000" w:rsidRPr="00000000">
        <w:rPr>
          <w:rFonts w:ascii="Verdana" w:cs="Verdana" w:eastAsia="Verdana" w:hAnsi="Verdana"/>
          <w:sz w:val="24"/>
          <w:szCs w:val="24"/>
          <w:highlight w:val="white"/>
          <w:rtl w:val="0"/>
        </w:rPr>
        <w:t xml:space="preserve">,</w:t>
      </w:r>
      <w:r w:rsidDel="00000000" w:rsidR="00000000" w:rsidRPr="00000000">
        <w:rPr>
          <w:rFonts w:ascii="Verdana" w:cs="Verdana" w:eastAsia="Verdana" w:hAnsi="Verdana"/>
          <w:b w:val="1"/>
          <w:sz w:val="24"/>
          <w:szCs w:val="24"/>
          <w:highlight w:val="white"/>
          <w:rtl w:val="0"/>
        </w:rPr>
        <w:t xml:space="preserve"> </w:t>
      </w:r>
      <w:r w:rsidDel="00000000" w:rsidR="00000000" w:rsidRPr="00000000">
        <w:rPr>
          <w:rFonts w:ascii="Verdana" w:cs="Verdana" w:eastAsia="Verdana" w:hAnsi="Verdana"/>
          <w:sz w:val="24"/>
          <w:szCs w:val="24"/>
          <w:highlight w:val="white"/>
          <w:rtl w:val="0"/>
        </w:rPr>
        <w:t xml:space="preserve">previsto no § 1º do artigo 997 do Código de Processo Civil:</w:t>
      </w:r>
    </w:p>
    <w:p w:rsidR="00000000" w:rsidDel="00000000" w:rsidP="00000000" w:rsidRDefault="00000000" w:rsidRPr="00000000" w14:paraId="0000013C">
      <w:pPr>
        <w:shd w:fill="ffffff" w:val="clear"/>
        <w:spacing w:after="0" w:before="240" w:line="240" w:lineRule="auto"/>
        <w:ind w:left="2268" w:firstLine="0"/>
        <w:jc w:val="both"/>
        <w:rPr>
          <w:rFonts w:ascii="Verdana" w:cs="Verdana" w:eastAsia="Verdana" w:hAnsi="Verdana"/>
          <w:color w:val="000000"/>
          <w:sz w:val="20"/>
          <w:szCs w:val="20"/>
        </w:rPr>
      </w:pPr>
      <w:r w:rsidDel="00000000" w:rsidR="00000000" w:rsidRPr="00000000">
        <w:rPr>
          <w:rFonts w:ascii="Verdana" w:cs="Verdana" w:eastAsia="Verdana" w:hAnsi="Verdana"/>
          <w:color w:val="000000"/>
          <w:sz w:val="20"/>
          <w:szCs w:val="20"/>
          <w:rtl w:val="0"/>
        </w:rPr>
        <w:t xml:space="preserve">Art. 997. Cada parte interporá o recurso independentemente, no prazo e com observância das exigências legais.</w:t>
      </w:r>
    </w:p>
    <w:p w:rsidR="00000000" w:rsidDel="00000000" w:rsidP="00000000" w:rsidRDefault="00000000" w:rsidRPr="00000000" w14:paraId="0000013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40" w:lineRule="auto"/>
        <w:ind w:left="2268" w:right="0" w:firstLine="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1º Sendo vencidos autor e réu, ao recurso interposto por qualquer deles poderá aderir o outro.</w:t>
      </w:r>
    </w:p>
    <w:p w:rsidR="00000000" w:rsidDel="00000000" w:rsidP="00000000" w:rsidRDefault="00000000" w:rsidRPr="00000000" w14:paraId="0000013E">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851"/>
        <w:jc w:val="both"/>
        <w:rPr>
          <w:rFonts w:ascii="Verdana" w:cs="Verdana" w:eastAsia="Verdana" w:hAnsi="Verdana"/>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O recurso adesivo não é uma espécie de recurso, mas uma forma de interposição, diferentemente do recurso independente, do qual é interposto sem qualquer relação com o comportamento da outra parte, o adesivo é condicionado ao recurso da parte contrária.</w:t>
      </w:r>
    </w:p>
    <w:p w:rsidR="00000000" w:rsidDel="00000000" w:rsidP="00000000" w:rsidRDefault="00000000" w:rsidRPr="00000000" w14:paraId="0000013F">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851"/>
        <w:jc w:val="both"/>
        <w:rPr>
          <w:rFonts w:ascii="Verdana" w:cs="Verdana" w:eastAsia="Verdana" w:hAnsi="Verdana"/>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Neste sentido para BONDIOLI, Luís Guilherme Aidar (2017, p. 44):</w:t>
      </w:r>
    </w:p>
    <w:p w:rsidR="00000000" w:rsidDel="00000000" w:rsidP="00000000" w:rsidRDefault="00000000" w:rsidRPr="00000000" w14:paraId="00000140">
      <w:pPr>
        <w:shd w:fill="ffffff" w:val="clear"/>
        <w:spacing w:after="240" w:before="240" w:line="240" w:lineRule="auto"/>
        <w:ind w:left="2268" w:firstLine="0"/>
        <w:jc w:val="both"/>
        <w:rPr>
          <w:rFonts w:ascii="Verdana" w:cs="Verdana" w:eastAsia="Verdana" w:hAnsi="Verdana"/>
          <w:color w:val="202124"/>
          <w:sz w:val="20"/>
          <w:szCs w:val="20"/>
        </w:rPr>
      </w:pPr>
      <w:sdt>
        <w:sdtPr>
          <w:tag w:val="goog_rdk_11"/>
        </w:sdtPr>
        <w:sdtContent>
          <w:r w:rsidDel="00000000" w:rsidR="00000000" w:rsidRPr="00000000">
            <w:rPr>
              <w:rFonts w:ascii="Arial" w:cs="Arial" w:eastAsia="Arial" w:hAnsi="Arial"/>
              <w:color w:val="202124"/>
              <w:sz w:val="20"/>
              <w:szCs w:val="20"/>
              <w:rtl w:val="0"/>
            </w:rPr>
            <w:t xml:space="preserve">Assim, havendo sucumbência recíproca, permite-se que a parte que num primeiro momento decidiu nada fazer diante da decisão judicial venha a ulteriormente recorrer desta, diante do recurso apresentado por seu adversário, aderindo à insurgência. Daí́ o nome utilizado pelo legislador: recurso adesivo.</w:t>
          </w:r>
        </w:sdtContent>
      </w:sdt>
      <w:r w:rsidDel="00000000" w:rsidR="00000000" w:rsidRPr="00000000">
        <w:rPr>
          <w:rFonts w:ascii="Verdana" w:cs="Verdana" w:eastAsia="Verdana" w:hAnsi="Verdana"/>
          <w:sz w:val="20"/>
          <w:szCs w:val="20"/>
          <w:highlight w:val="white"/>
          <w:rtl w:val="0"/>
        </w:rPr>
        <w:t xml:space="preserve">  </w:t>
      </w:r>
      <w:r w:rsidDel="00000000" w:rsidR="00000000" w:rsidRPr="00000000">
        <w:rPr>
          <w:rtl w:val="0"/>
        </w:rPr>
      </w:r>
    </w:p>
    <w:p w:rsidR="00000000" w:rsidDel="00000000" w:rsidP="00000000" w:rsidRDefault="00000000" w:rsidRPr="00000000" w14:paraId="00000141">
      <w:pPr>
        <w:shd w:fill="ffffff" w:val="clear"/>
        <w:spacing w:after="240" w:before="240" w:line="360" w:lineRule="auto"/>
        <w:ind w:firstLine="850"/>
        <w:jc w:val="both"/>
        <w:rPr>
          <w:rFonts w:ascii="Verdana" w:cs="Verdana" w:eastAsia="Verdana" w:hAnsi="Verdana"/>
          <w:sz w:val="24"/>
          <w:szCs w:val="24"/>
          <w:highlight w:val="white"/>
        </w:rPr>
      </w:pPr>
      <w:r w:rsidDel="00000000" w:rsidR="00000000" w:rsidRPr="00000000">
        <w:rPr>
          <w:rFonts w:ascii="Verdana" w:cs="Verdana" w:eastAsia="Verdana" w:hAnsi="Verdana"/>
          <w:sz w:val="24"/>
          <w:szCs w:val="24"/>
          <w:highlight w:val="white"/>
          <w:rtl w:val="0"/>
        </w:rPr>
        <w:t xml:space="preserve">Segundo o entendimento sobre o assunto, a jurisprudência do Superior Tribunal de Justiça sobre o recurso adesivo, contemplemos:</w:t>
      </w:r>
    </w:p>
    <w:p w:rsidR="00000000" w:rsidDel="00000000" w:rsidP="00000000" w:rsidRDefault="00000000" w:rsidRPr="00000000" w14:paraId="00000142">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240" w:lineRule="auto"/>
        <w:ind w:left="2268" w:right="0" w:firstLine="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RECURSO ESPECIAL. PROCESSUAL CIVIL. RECURSO ADESIVO. REQUISITOS DE ADMISSIBILIDADE. 1. Controvérsia em torno da necessidade de a matéria devolvida no recurso adesivamente interposto guardar relação com a matéria discutida no recurso principal. 2. O recurso adesivo não constitui modalidade recursal diversa daquela a que adere, tendo apenas uma forma de interposição diferente daquela ordinariamente utilizada quanto ao recurso principal (recurso-tipo). 3. A irresignação é manejada fora do seu prazo normal, aproveitando o prazo para contrarrazões em relação ao recurso interposto pela parte adversa. 4. Não decorria do Código de Processo Civil de 1973 (art. 500), nem decorre do atual estatuto processual (art. 997), interpretação que corrobore estar dentro dos requisitos de admissibilidade do recurso adesivo a existência de subordinação à matéria devolvida no recurso principal. 5. Não há restrição em relação ao conteúdo da irresignação manejada na via adesiva, podendo o recorrente suscitar tudo o que arguiria acaso tivesse interposto o recurso de apelação, o recurso especial ou o recurso extraordinário na via normal. 6. A subordinação legalmente prevista é apenas formal, estando adstrita à admissibilidade do recurso principal. 7. RECURSO ESPECIAL PROVIDO.</w:t>
      </w:r>
    </w:p>
    <w:p w:rsidR="00000000" w:rsidDel="00000000" w:rsidP="00000000" w:rsidRDefault="00000000" w:rsidRPr="00000000" w14:paraId="00000143">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240" w:lineRule="auto"/>
        <w:ind w:left="2268" w:right="0" w:firstLine="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(STJ - REsp: 1675996 SP 2017/0131400-5, Relator: Ministro PAULO DE TARSO SANSEVERINO, Data de Julgamento: 27/08/2019, T3 - TERCEIRA TURMA, Data de Publicação: DJe 03/09/2019)</w:t>
      </w:r>
    </w:p>
    <w:p w:rsidR="00000000" w:rsidDel="00000000" w:rsidP="00000000" w:rsidRDefault="00000000" w:rsidRPr="00000000" w14:paraId="00000144">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360" w:lineRule="auto"/>
        <w:ind w:left="0" w:right="0" w:firstLine="851"/>
        <w:jc w:val="both"/>
        <w:rPr>
          <w:rFonts w:ascii="Verdana" w:cs="Verdana" w:eastAsia="Verdana" w:hAnsi="Verdana"/>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Ademais, o recurso adesivo é restrito à apelação, ao recurso extraordinário e ao recurso especial, porém uma vez interposto fica subordinado ao recurso independente da parte contrária, sendo- lhe aplicáveis as mesmas regras quanto aos requisitos de admissibilidade, com também prazo e preparo. </w:t>
      </w:r>
    </w:p>
    <w:p w:rsidR="00000000" w:rsidDel="00000000" w:rsidP="00000000" w:rsidRDefault="00000000" w:rsidRPr="00000000" w14:paraId="00000145">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360" w:lineRule="auto"/>
        <w:ind w:left="0" w:right="0" w:firstLine="851"/>
        <w:jc w:val="both"/>
        <w:rPr>
          <w:rFonts w:ascii="Verdana" w:cs="Verdana" w:eastAsia="Verdana" w:hAnsi="Verdana"/>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O artigo 997, CPC em seu parágrafo 2º, incisos I, II, III, dispõem sobre as regras do recurso adesivo, vejamos: </w:t>
      </w:r>
    </w:p>
    <w:p w:rsidR="00000000" w:rsidDel="00000000" w:rsidP="00000000" w:rsidRDefault="00000000" w:rsidRPr="00000000" w14:paraId="00000146">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240" w:lineRule="auto"/>
        <w:ind w:left="2268" w:right="0" w:firstLine="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Art. 997. Cada parte interporá o recurso independentemente, no prazo e com observância das exigências legais.</w:t>
      </w:r>
    </w:p>
    <w:p w:rsidR="00000000" w:rsidDel="00000000" w:rsidP="00000000" w:rsidRDefault="00000000" w:rsidRPr="00000000" w14:paraId="00000147">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240" w:lineRule="auto"/>
        <w:ind w:left="2268" w:right="0" w:firstLine="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I - será dirigido ao órgão perante o qual o recurso independente fora interposto, no prazo de que a parte dispõe para responder;</w:t>
      </w:r>
    </w:p>
    <w:p w:rsidR="00000000" w:rsidDel="00000000" w:rsidP="00000000" w:rsidRDefault="00000000" w:rsidRPr="00000000" w14:paraId="00000148">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240" w:lineRule="auto"/>
        <w:ind w:left="2268" w:right="0" w:firstLine="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II - será admissível na apelação, no recurso extraordinário e no recurso especial;</w:t>
      </w:r>
    </w:p>
    <w:p w:rsidR="00000000" w:rsidDel="00000000" w:rsidP="00000000" w:rsidRDefault="00000000" w:rsidRPr="00000000" w14:paraId="00000149">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240" w:lineRule="auto"/>
        <w:ind w:left="2268" w:right="0" w:firstLine="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III - não será conhecido, se houver desistência do recurso principal ou se for ele considerado inadmissível.</w:t>
      </w:r>
    </w:p>
    <w:p w:rsidR="00000000" w:rsidDel="00000000" w:rsidP="00000000" w:rsidRDefault="00000000" w:rsidRPr="00000000" w14:paraId="0000014A">
      <w:pPr>
        <w:shd w:fill="ffffff" w:val="clear"/>
        <w:spacing w:after="240" w:before="240" w:line="360" w:lineRule="auto"/>
        <w:ind w:firstLine="860"/>
        <w:jc w:val="both"/>
        <w:rPr>
          <w:rFonts w:ascii="Verdana" w:cs="Verdana" w:eastAsia="Verdana" w:hAnsi="Verdana"/>
          <w:color w:val="000000"/>
          <w:sz w:val="24"/>
          <w:szCs w:val="24"/>
        </w:rPr>
      </w:pPr>
      <w:r w:rsidDel="00000000" w:rsidR="00000000" w:rsidRPr="00000000">
        <w:rPr>
          <w:rFonts w:ascii="Verdana" w:cs="Verdana" w:eastAsia="Verdana" w:hAnsi="Verdana"/>
          <w:sz w:val="24"/>
          <w:szCs w:val="24"/>
          <w:highlight w:val="white"/>
          <w:rtl w:val="0"/>
        </w:rPr>
        <w:t xml:space="preserve">Segundo </w:t>
      </w:r>
      <w:r w:rsidDel="00000000" w:rsidR="00000000" w:rsidRPr="00000000">
        <w:rPr>
          <w:rFonts w:ascii="Verdana" w:cs="Verdana" w:eastAsia="Verdana" w:hAnsi="Verdana"/>
          <w:color w:val="000000"/>
          <w:sz w:val="24"/>
          <w:szCs w:val="24"/>
          <w:rtl w:val="0"/>
        </w:rPr>
        <w:t xml:space="preserve">BONDIOLI, Luís Guilherme Aidar (2017, p. 44, 45):</w:t>
      </w:r>
    </w:p>
    <w:p w:rsidR="00000000" w:rsidDel="00000000" w:rsidP="00000000" w:rsidRDefault="00000000" w:rsidRPr="00000000" w14:paraId="0000014B">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240" w:lineRule="auto"/>
        <w:ind w:left="2268" w:right="0" w:firstLine="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A única facilidade com que conta o recorrente adesivo consiste na pos- tergac</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w:t>
      </w:r>
      <w:sdt>
        <w:sdtPr>
          <w:tag w:val="goog_rdk_12"/>
        </w:sdtPr>
        <w:sdtContent>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ão do termo a quo do prazo para recorrer. Por isso, ele deve cuidar para que todos os requisitos de admissibilidade próprios do recurso interposto se façam presentes, como se estivesse recorrendo de forma independente. A exigência de observância desses requisitos não é mitigada na via recursal adesiva.</w:t>
          </w:r>
        </w:sdtContent>
      </w:sdt>
    </w:p>
    <w:p w:rsidR="00000000" w:rsidDel="00000000" w:rsidP="00000000" w:rsidRDefault="00000000" w:rsidRPr="00000000" w14:paraId="0000014C">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240" w:lineRule="auto"/>
        <w:ind w:left="2268" w:right="0" w:firstLine="0"/>
        <w:jc w:val="both"/>
        <w:rPr>
          <w:rFonts w:ascii="Verdana" w:cs="Verdana" w:eastAsia="Verdana" w:hAnsi="Verdana"/>
          <w:b w:val="0"/>
          <w:i w:val="0"/>
          <w:smallCaps w:val="0"/>
          <w:strike w:val="0"/>
          <w:color w:val="000000"/>
          <w:sz w:val="22"/>
          <w:szCs w:val="22"/>
          <w:u w:val="none"/>
          <w:shd w:fill="auto" w:val="clear"/>
          <w:vertAlign w:val="baseline"/>
        </w:rPr>
      </w:pPr>
      <w:sdt>
        <w:sdtPr>
          <w:tag w:val="goog_rdk_13"/>
        </w:sdtPr>
        <w:sdtContent>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Conforme disposto no inciso II do § 2o do art. 997, o recurso adesivo é “admissível na apelação, no recurso extraordinário e no recurso especial”. Comparação com o inciso II do parágrafo único do art. 500 do CPC de 1973 aponta para uma redução do rol de recursos passíveis de adesão, pois este contemplava também os embargos infringentes. Na medida em que os embargos infringentes foram eliminados do Código de Processo Civil, natural a diminuição da lista de recursos que comportam adesão. No mais, o rol permanece o mesmo.</w:t>
          </w:r>
        </w:sdtContent>
      </w:sdt>
      <w:r w:rsidDel="00000000" w:rsidR="00000000" w:rsidRPr="00000000">
        <w:rPr>
          <w:rtl w:val="0"/>
        </w:rPr>
      </w:r>
    </w:p>
    <w:p w:rsidR="00000000" w:rsidDel="00000000" w:rsidP="00000000" w:rsidRDefault="00000000" w:rsidRPr="00000000" w14:paraId="0000014D">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360" w:lineRule="auto"/>
        <w:ind w:left="0" w:right="0" w:firstLine="851"/>
        <w:jc w:val="both"/>
        <w:rPr>
          <w:rFonts w:ascii="Verdana" w:cs="Verdana" w:eastAsia="Verdana" w:hAnsi="Verdana"/>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A jurisprudência descrita a seguir, do Tribunal de Justiça do Ceará, possui o seguinte entendimento sobre o prazo do recurso adesivo:</w:t>
      </w:r>
    </w:p>
    <w:p w:rsidR="00000000" w:rsidDel="00000000" w:rsidP="00000000" w:rsidRDefault="00000000" w:rsidRPr="00000000" w14:paraId="0000014E">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240" w:lineRule="auto"/>
        <w:ind w:left="2268" w:right="0" w:firstLine="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PROCESSUAL CIVIL. EMBARGOS DE DECLARAÇÃO EM RECURSO DE APELAÇÃO CÍVEL. OMISSÃO CONFIGURADA. ACOLHIMENTO DOS EMBARGOS PARA SANAR O VÍCIO. CONHECIMENTO DO RECURSO ADESIVO INTERPOSTO PELO AUTOR. INTIMAR A PARTE CONTRÁRIA PARA APRESENTAR CONTRARRAZÕES. EMBARGOS CONHECIDOS E PROVIDOS. I. Trata-se de Embargos de Declaração interpostos em face de acórdão prolatado por esta relatoria que negou provimento ao recurso de apelação interposto pelo Município de Pacajus. Em suas razões recursais, o embargante alega que a decisão embargada é omissa, pois não teria se pronunciado acerca da apelação adesiva interposta pelo embargante na qual se pleiteia o arbitramento de honorários sucumbenciais. Requer, assim, que seja conferido provimento aos aclaratórios para que seja recebido o Recurso Adesivo de apelação interposto e seja, a seguir, oportunizada a apresentação de contrarrazões pela parte adversa. II. De fato, de acordo com o que prescreve o art. 997 do CPC, havendo sucumbência recíproca a parte apelada poderá apresentar recurso adesivo, no prazo das contrarrazões. Dessa forma, ao contrário do que afirma o embargado, o autor sucumbiu em parte na sua pretensão, na ocasião em que o juízo de primeiro grau deixou de condenar o réu, então sucumbente, no pagamento de honorários advocatícios de sucumbência em favor do advogado do autor III. Ademais, no que tange ao prazo para interposição do recurso adesivo, conforme o disposto no § 2º do art. 997 do CPC, as mesmas condições de admissibilidade do recurso principal são exigidas para o adesivo, de modo que o para sua interposição encerra-se no momento em que termina o prazo do recorrente para contrarrazoar a apelação à qual está aderindo. IV. Compulsando os autos, verifica-se que a decisão que determinou a intimação para apresentação das contrarrazões foi disponibilizada dia 22/03/2018, considerando-se publicada em 23/03/2018. Dessa forma, considerando que a Portaria nº 386/2018 do TJCE, de 22 de março de 2018, declarou o dia 29/03/2018 como ponto facultativo e o dia 30/03/2018 foi feriado nacional (sexta-feira da paixão), o prazo de 15 (quinze) dias úteis para apresentação das contrarrazões/recurso adesivo findou-se em 16/04/2018, estando, portanto, tempestivo o recurso adesivo. V. Consoante o disposto acima, assiste razão a embargante no que diz respeito à omissão alegada, eis que necessário analisar o Recurso Adesivo interposto. Dessa forma, recebo o Recurso Adesivo de apelação interposto, e determino que seja intimada a parte recorrida para, querendo, apresentar contrarrazões no prazo legal, possibilitando, assim, a apreciação das referidas razões recursais por este Egrégio Tribunal de Justiça. VI. Embargos Declaratórios conhecidos e providos. ACÓRDÃO: Vistos, relatados e discutidos estes autos, acorda a 3ª Câmara Direito Público do Tribunal de Justiça do Estado do Ceará, em, por unanimidade dos votos, conhecer dos embargos de declaração para dar-lhe provimento, nos termos do voto do Relator. Fortaleza, 22 de junho de 2020 Presidente do Órgão Julgador DESEMBARGADOR INACIO DE ALENCAR CORTEZ NETO Relator</w:t>
      </w:r>
    </w:p>
    <w:p w:rsidR="00000000" w:rsidDel="00000000" w:rsidP="00000000" w:rsidRDefault="00000000" w:rsidRPr="00000000" w14:paraId="0000014F">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240" w:lineRule="auto"/>
        <w:ind w:left="2268" w:right="0" w:firstLine="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(TJ-CE - ED: 00103774620158060136 CE 0010377-46.2015.8.06.0136, Relator: INACIO DE ALENCAR CORTEZ NETO, Data de Julgamento: 15/06/2020, 3ª Câmara Direito Público, Data de Publicação: 15/06/2020)</w:t>
      </w:r>
    </w:p>
    <w:p w:rsidR="00000000" w:rsidDel="00000000" w:rsidP="00000000" w:rsidRDefault="00000000" w:rsidRPr="00000000" w14:paraId="00000150">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360" w:lineRule="auto"/>
        <w:ind w:left="0" w:right="0" w:firstLine="851"/>
        <w:jc w:val="both"/>
        <w:rPr>
          <w:rFonts w:ascii="Verdana" w:cs="Verdana" w:eastAsia="Verdana" w:hAnsi="Verdana"/>
          <w:b w:val="1"/>
          <w:i w:val="0"/>
          <w:smallCaps w:val="0"/>
          <w:strike w:val="0"/>
          <w:color w:val="000000"/>
          <w:sz w:val="24"/>
          <w:szCs w:val="24"/>
          <w:u w:val="single"/>
          <w:shd w:fill="auto" w:val="clear"/>
          <w:vertAlign w:val="baseline"/>
        </w:rPr>
      </w:pP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D</w:t>
      </w:r>
      <w:sdt>
        <w:sdtPr>
          <w:tag w:val="goog_rdk_14"/>
        </w:sdtPr>
        <w:sdtContent>
          <w:commentRangeStart w:id="11"/>
        </w:sdtContent>
      </w:sdt>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iante do exposto, conclui-se que, desde que preenchidos os </w:t>
      </w:r>
      <w:commentRangeEnd w:id="11"/>
      <w:r w:rsidDel="00000000" w:rsidR="00000000" w:rsidRPr="00000000">
        <w:commentReference w:id="11"/>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requisitos cumulativos dispostos no artigo 997 do Código de Processo Civil, assim como a observância do prazo estabelecido, </w:t>
      </w:r>
      <w:r w:rsidDel="00000000" w:rsidR="00000000" w:rsidRPr="00000000">
        <w:rPr>
          <w:rFonts w:ascii="Verdana" w:cs="Verdana" w:eastAsia="Verdana" w:hAnsi="Verdana"/>
          <w:b w:val="1"/>
          <w:i w:val="0"/>
          <w:smallCaps w:val="0"/>
          <w:strike w:val="0"/>
          <w:color w:val="000000"/>
          <w:sz w:val="24"/>
          <w:szCs w:val="24"/>
          <w:u w:val="single"/>
          <w:shd w:fill="auto" w:val="clear"/>
          <w:vertAlign w:val="baseline"/>
          <w:rtl w:val="0"/>
        </w:rPr>
        <w:t xml:space="preserve">poderá a financeira apresentar Recurso Adesivo junto ao Recurso de Apelação da consulente Lívia.</w:t>
      </w:r>
    </w:p>
    <w:p w:rsidR="00000000" w:rsidDel="00000000" w:rsidP="00000000" w:rsidRDefault="00000000" w:rsidRPr="00000000" w14:paraId="00000151">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360" w:lineRule="auto"/>
        <w:ind w:left="0" w:right="0" w:firstLine="851"/>
        <w:jc w:val="both"/>
        <w:rPr>
          <w:rFonts w:ascii="Verdana" w:cs="Verdana" w:eastAsia="Verdana" w:hAnsi="Verdana"/>
          <w:b w:val="0"/>
          <w:i w:val="0"/>
          <w:smallCaps w:val="0"/>
          <w:strike w:val="0"/>
          <w:color w:val="000000"/>
          <w:sz w:val="24"/>
          <w:szCs w:val="24"/>
          <w:u w:val="single"/>
          <w:shd w:fill="auto" w:val="clear"/>
          <w:vertAlign w:val="baseline"/>
        </w:rPr>
      </w:pPr>
      <w:r w:rsidDel="00000000" w:rsidR="00000000" w:rsidRPr="00000000">
        <w:rPr>
          <w:rFonts w:ascii="Verdana" w:cs="Verdana" w:eastAsia="Verdana" w:hAnsi="Verdana"/>
          <w:b w:val="0"/>
          <w:i w:val="0"/>
          <w:smallCaps w:val="0"/>
          <w:strike w:val="0"/>
          <w:color w:val="000000"/>
          <w:sz w:val="24"/>
          <w:szCs w:val="24"/>
          <w:u w:val="single"/>
          <w:shd w:fill="auto" w:val="clear"/>
          <w:vertAlign w:val="baseline"/>
          <w:rtl w:val="0"/>
        </w:rPr>
        <w:t xml:space="preserve"> </w:t>
      </w:r>
    </w:p>
    <w:p w:rsidR="00000000" w:rsidDel="00000000" w:rsidP="00000000" w:rsidRDefault="00000000" w:rsidRPr="00000000" w14:paraId="00000152">
      <w:pPr>
        <w:shd w:fill="ffffff" w:val="clear"/>
        <w:spacing w:after="0" w:before="240" w:line="360" w:lineRule="auto"/>
        <w:jc w:val="both"/>
        <w:rPr>
          <w:rFonts w:ascii="Verdana" w:cs="Verdana" w:eastAsia="Verdana" w:hAnsi="Verdana"/>
          <w:b w:val="1"/>
          <w:color w:val="202124"/>
          <w:sz w:val="24"/>
          <w:szCs w:val="24"/>
          <w:highlight w:val="white"/>
        </w:rPr>
      </w:pPr>
      <w:r w:rsidDel="00000000" w:rsidR="00000000" w:rsidRPr="00000000">
        <w:rPr>
          <w:rFonts w:ascii="Verdana" w:cs="Verdana" w:eastAsia="Verdana" w:hAnsi="Verdana"/>
          <w:b w:val="1"/>
          <w:color w:val="202124"/>
          <w:sz w:val="24"/>
          <w:szCs w:val="24"/>
          <w:highlight w:val="white"/>
          <w:rtl w:val="0"/>
        </w:rPr>
        <w:t xml:space="preserve">CONTRATO DE PRESTAÇÃO DE SERVIÇO E HONORÁRIOS ADVOCATÍCIOS - DIREITO CIVIL</w:t>
      </w:r>
    </w:p>
    <w:p w:rsidR="00000000" w:rsidDel="00000000" w:rsidP="00000000" w:rsidRDefault="00000000" w:rsidRPr="00000000" w14:paraId="00000153">
      <w:pPr>
        <w:shd w:fill="ffffff" w:val="clear"/>
        <w:spacing w:after="0" w:before="240" w:line="360" w:lineRule="auto"/>
        <w:jc w:val="both"/>
        <w:rPr>
          <w:rFonts w:ascii="Verdana" w:cs="Verdana" w:eastAsia="Verdana" w:hAnsi="Verdana"/>
          <w:b w:val="1"/>
          <w:color w:val="202124"/>
          <w:sz w:val="24"/>
          <w:szCs w:val="24"/>
          <w:highlight w:val="white"/>
        </w:rPr>
      </w:pPr>
      <w:r w:rsidDel="00000000" w:rsidR="00000000" w:rsidRPr="00000000">
        <w:rPr>
          <w:rtl w:val="0"/>
        </w:rPr>
      </w:r>
    </w:p>
    <w:p w:rsidR="00000000" w:rsidDel="00000000" w:rsidP="00000000" w:rsidRDefault="00000000" w:rsidRPr="00000000" w14:paraId="00000154">
      <w:pPr>
        <w:spacing w:after="0" w:line="360" w:lineRule="auto"/>
        <w:ind w:firstLine="851"/>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rtl w:val="0"/>
        </w:rPr>
        <w:t xml:space="preserve">Passa-se à análise acerca do questionamento da Consulente sobre a validade da cláusula 12 do Contrato de Prestação de Serviços de Honorários Advocatícios, bem como, a legalidade da cobrança de honorário no patamar de 60% do proveito econômico que a contratante obtiver.</w:t>
      </w:r>
      <w:r w:rsidDel="00000000" w:rsidR="00000000" w:rsidRPr="00000000">
        <w:rPr>
          <w:rtl w:val="0"/>
        </w:rPr>
      </w:r>
    </w:p>
    <w:p w:rsidR="00000000" w:rsidDel="00000000" w:rsidP="00000000" w:rsidRDefault="00000000" w:rsidRPr="00000000" w14:paraId="00000155">
      <w:pPr>
        <w:spacing w:after="0" w:line="360" w:lineRule="auto"/>
        <w:ind w:firstLine="851"/>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rtl w:val="0"/>
        </w:rPr>
        <w:t xml:space="preserve">De proêmio, necessário se faz trazer à baila que a consulente formalizou contrato de honorários advocatícios com o advogado Cléber para ajuizamento de ação de declaração de inexistência de relação jurídica combinada com declaração de inexigibilidade de débito combinada com indenização por danos morais em face da PNTM Financeira S.A. </w:t>
      </w:r>
      <w:r w:rsidDel="00000000" w:rsidR="00000000" w:rsidRPr="00000000">
        <w:rPr>
          <w:rtl w:val="0"/>
        </w:rPr>
      </w:r>
    </w:p>
    <w:p w:rsidR="00000000" w:rsidDel="00000000" w:rsidP="00000000" w:rsidRDefault="00000000" w:rsidRPr="00000000" w14:paraId="00000156">
      <w:pPr>
        <w:spacing w:after="0" w:line="360" w:lineRule="auto"/>
        <w:ind w:firstLine="851"/>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rtl w:val="0"/>
        </w:rPr>
        <w:t xml:space="preserve">Proferida a sentença, o Juiz julgou procedente a ação para condenar a financeira ao pagamento de indenização no montante de R$5.000,00 e ao pagamento de honorários de sucumbência em 20%. Mesmo a consulente manifestando sua vontade em não recorrer da decisão, por conta da satisfação com o resultado do processo, ainda assim foi surpreendida com uma intimação sobre a interposição de recurso.</w:t>
      </w:r>
      <w:r w:rsidDel="00000000" w:rsidR="00000000" w:rsidRPr="00000000">
        <w:rPr>
          <w:rtl w:val="0"/>
        </w:rPr>
      </w:r>
    </w:p>
    <w:p w:rsidR="00000000" w:rsidDel="00000000" w:rsidP="00000000" w:rsidRDefault="00000000" w:rsidRPr="00000000" w14:paraId="00000157">
      <w:pPr>
        <w:spacing w:after="0" w:line="360" w:lineRule="auto"/>
        <w:ind w:firstLine="851"/>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rtl w:val="0"/>
        </w:rPr>
        <w:t xml:space="preserve">Antes que se adentre a questão da legalidade e da validade da cláusula de nº 12 quanto ao percentual de 60% cobrado, é importante destacar que contrato, nos dizeres de Carlos Roberto Gonçalves (2022. p. 27), “é a mais importante fonte de obrigação. Diferentemente do ato unilateral, o contrato prescinde de ao menos duas partes, sendo, portanto, negócio bilateral.”</w:t>
      </w:r>
      <w:r w:rsidDel="00000000" w:rsidR="00000000" w:rsidRPr="00000000">
        <w:rPr>
          <w:rtl w:val="0"/>
        </w:rPr>
      </w:r>
    </w:p>
    <w:p w:rsidR="00000000" w:rsidDel="00000000" w:rsidP="00000000" w:rsidRDefault="00000000" w:rsidRPr="00000000" w14:paraId="00000158">
      <w:pPr>
        <w:spacing w:after="0" w:line="360" w:lineRule="auto"/>
        <w:ind w:firstLine="851"/>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rtl w:val="0"/>
        </w:rPr>
        <w:t xml:space="preserve">As partes são livres para pactuarem direitos, deveres e obrigações através de contrato e é sabido que o contrato faz lei entre as partes. Tal premissa está consagrada no princípio da autonomia da vontade. </w:t>
      </w:r>
      <w:r w:rsidDel="00000000" w:rsidR="00000000" w:rsidRPr="00000000">
        <w:rPr>
          <w:rtl w:val="0"/>
        </w:rPr>
      </w:r>
    </w:p>
    <w:p w:rsidR="00000000" w:rsidDel="00000000" w:rsidP="00000000" w:rsidRDefault="00000000" w:rsidRPr="00000000" w14:paraId="00000159">
      <w:pPr>
        <w:spacing w:after="0" w:line="240" w:lineRule="auto"/>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5A">
      <w:pPr>
        <w:spacing w:after="0" w:line="240" w:lineRule="auto"/>
        <w:ind w:firstLine="720"/>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rtl w:val="0"/>
        </w:rPr>
        <w:t xml:space="preserve">Segundo Maria Helena Diniz (2022. p. 90):</w:t>
      </w:r>
      <w:r w:rsidDel="00000000" w:rsidR="00000000" w:rsidRPr="00000000">
        <w:rPr>
          <w:rtl w:val="0"/>
        </w:rPr>
      </w:r>
    </w:p>
    <w:p w:rsidR="00000000" w:rsidDel="00000000" w:rsidP="00000000" w:rsidRDefault="00000000" w:rsidRPr="00000000" w14:paraId="0000015B">
      <w:pPr>
        <w:spacing w:after="0" w:line="240" w:lineRule="auto"/>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5C">
      <w:pPr>
        <w:spacing w:after="0" w:line="240" w:lineRule="auto"/>
        <w:ind w:left="2268" w:firstLine="0"/>
        <w:jc w:val="both"/>
        <w:rPr>
          <w:rFonts w:ascii="Verdana" w:cs="Verdana" w:eastAsia="Verdana" w:hAnsi="Verdana"/>
          <w:color w:val="000000"/>
          <w:sz w:val="20"/>
          <w:szCs w:val="20"/>
        </w:rPr>
      </w:pPr>
      <w:r w:rsidDel="00000000" w:rsidR="00000000" w:rsidRPr="00000000">
        <w:rPr>
          <w:rFonts w:ascii="Verdana" w:cs="Verdana" w:eastAsia="Verdana" w:hAnsi="Verdana"/>
          <w:color w:val="000000"/>
          <w:sz w:val="20"/>
          <w:szCs w:val="20"/>
          <w:rtl w:val="0"/>
        </w:rPr>
        <w:t xml:space="preserve">(...) </w:t>
      </w:r>
      <w:r w:rsidDel="00000000" w:rsidR="00000000" w:rsidRPr="00000000">
        <w:rPr>
          <w:rFonts w:ascii="Verdana" w:cs="Verdana" w:eastAsia="Verdana" w:hAnsi="Verdana"/>
          <w:i w:val="1"/>
          <w:sz w:val="20"/>
          <w:szCs w:val="20"/>
          <w:rtl w:val="0"/>
        </w:rPr>
        <w:t xml:space="preserve">autonomia da vontade</w:t>
      </w:r>
      <w:r w:rsidDel="00000000" w:rsidR="00000000" w:rsidRPr="00000000">
        <w:rPr>
          <w:rFonts w:ascii="Verdana" w:cs="Verdana" w:eastAsia="Verdana" w:hAnsi="Verdana"/>
          <w:color w:val="000000"/>
          <w:sz w:val="20"/>
          <w:szCs w:val="20"/>
          <w:rtl w:val="0"/>
        </w:rPr>
        <w:t xml:space="preserve">,</w:t>
      </w:r>
      <w:r w:rsidDel="00000000" w:rsidR="00000000" w:rsidRPr="00000000">
        <w:rPr>
          <w:rFonts w:ascii="Verdana" w:cs="Verdana" w:eastAsia="Verdana" w:hAnsi="Verdana"/>
          <w:i w:val="1"/>
          <w:color w:val="000000"/>
          <w:sz w:val="20"/>
          <w:szCs w:val="20"/>
          <w:rtl w:val="0"/>
        </w:rPr>
        <w:t xml:space="preserve"> </w:t>
      </w:r>
      <w:r w:rsidDel="00000000" w:rsidR="00000000" w:rsidRPr="00000000">
        <w:rPr>
          <w:rFonts w:ascii="Verdana" w:cs="Verdana" w:eastAsia="Verdana" w:hAnsi="Verdana"/>
          <w:color w:val="000000"/>
          <w:sz w:val="20"/>
          <w:szCs w:val="20"/>
          <w:rtl w:val="0"/>
        </w:rPr>
        <w:t xml:space="preserve">no qual se funda a liberdade contratual dos contratantes, consistindo no poder de estipular livremente, como melhor lhes convier, mediante acordo de vontades, a disciplina de seus interesses, suscitando efeitos tutelados pela ordem jurídica. Pelo Enunciado 582 – Com suporte na liberdade contratual e, portanto, em concretização da autonomia privada, as partes podem pactuar garantias contratuais atípicas (aprovado na VII Jornada de Direito Civil). Envolve </w:t>
      </w:r>
      <w:r w:rsidDel="00000000" w:rsidR="00000000" w:rsidRPr="00000000">
        <w:rPr>
          <w:rFonts w:ascii="Verdana" w:cs="Verdana" w:eastAsia="Verdana" w:hAnsi="Verdana"/>
          <w:i w:val="1"/>
          <w:color w:val="000000"/>
          <w:sz w:val="20"/>
          <w:szCs w:val="20"/>
          <w:rtl w:val="0"/>
        </w:rPr>
        <w:t xml:space="preserve">liberdade contratual</w:t>
      </w:r>
      <w:r w:rsidDel="00000000" w:rsidR="00000000" w:rsidRPr="00000000">
        <w:rPr>
          <w:rFonts w:ascii="Verdana" w:cs="Verdana" w:eastAsia="Verdana" w:hAnsi="Verdana"/>
          <w:color w:val="000000"/>
          <w:sz w:val="20"/>
          <w:szCs w:val="20"/>
          <w:rtl w:val="0"/>
        </w:rPr>
        <w:t xml:space="preserve">, que é a de determinação do conteúdo da avença e a de criação de contratos atípicos, e </w:t>
      </w:r>
      <w:r w:rsidDel="00000000" w:rsidR="00000000" w:rsidRPr="00000000">
        <w:rPr>
          <w:rFonts w:ascii="Verdana" w:cs="Verdana" w:eastAsia="Verdana" w:hAnsi="Verdana"/>
          <w:i w:val="1"/>
          <w:color w:val="000000"/>
          <w:sz w:val="20"/>
          <w:szCs w:val="20"/>
          <w:rtl w:val="0"/>
        </w:rPr>
        <w:t xml:space="preserve">liberdade de contratar</w:t>
      </w:r>
      <w:r w:rsidDel="00000000" w:rsidR="00000000" w:rsidRPr="00000000">
        <w:rPr>
          <w:rFonts w:ascii="Verdana" w:cs="Verdana" w:eastAsia="Verdana" w:hAnsi="Verdana"/>
          <w:color w:val="000000"/>
          <w:sz w:val="20"/>
          <w:szCs w:val="20"/>
          <w:rtl w:val="0"/>
        </w:rPr>
        <w:t xml:space="preserve">, alusiva à de celebrar ou não o contrato e à de escolher o outro contratante.</w:t>
      </w:r>
    </w:p>
    <w:p w:rsidR="00000000" w:rsidDel="00000000" w:rsidP="00000000" w:rsidRDefault="00000000" w:rsidRPr="00000000" w14:paraId="0000015D">
      <w:pPr>
        <w:spacing w:after="0" w:line="240" w:lineRule="auto"/>
        <w:ind w:left="2268" w:firstLine="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5E">
      <w:pPr>
        <w:spacing w:after="0" w:line="360" w:lineRule="auto"/>
        <w:ind w:firstLine="851"/>
        <w:jc w:val="both"/>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No entanto, esse princípio não é absoluto, esbarrando nos princípios da função social do contrato e boa-fé objetiva das partes, previstos nos artigos 421 e 422, vejamos:</w:t>
      </w:r>
    </w:p>
    <w:p w:rsidR="00000000" w:rsidDel="00000000" w:rsidP="00000000" w:rsidRDefault="00000000" w:rsidRPr="00000000" w14:paraId="0000015F">
      <w:pPr>
        <w:spacing w:after="0" w:line="240" w:lineRule="auto"/>
        <w:ind w:left="2268" w:firstLine="0"/>
        <w:jc w:val="both"/>
        <w:rPr>
          <w:rFonts w:ascii="Verdana" w:cs="Verdana" w:eastAsia="Verdana" w:hAnsi="Verdana"/>
          <w:sz w:val="20"/>
          <w:szCs w:val="20"/>
        </w:rPr>
      </w:pPr>
      <w:r w:rsidDel="00000000" w:rsidR="00000000" w:rsidRPr="00000000">
        <w:rPr>
          <w:rFonts w:ascii="Verdana" w:cs="Verdana" w:eastAsia="Verdana" w:hAnsi="Verdana"/>
          <w:sz w:val="20"/>
          <w:szCs w:val="20"/>
          <w:highlight w:val="white"/>
          <w:rtl w:val="0"/>
        </w:rPr>
        <w:t xml:space="preserve">Art. 421.  A liberdade contratual será exercida nos limites da função social do contrato. </w:t>
      </w:r>
      <w:hyperlink r:id="rId22">
        <w:r w:rsidDel="00000000" w:rsidR="00000000" w:rsidRPr="00000000">
          <w:rPr>
            <w:rFonts w:ascii="Verdana" w:cs="Verdana" w:eastAsia="Verdana" w:hAnsi="Verdana"/>
            <w:color w:val="000000"/>
            <w:sz w:val="20"/>
            <w:szCs w:val="20"/>
            <w:highlight w:val="white"/>
            <w:u w:val="single"/>
            <w:rtl w:val="0"/>
          </w:rPr>
          <w:t xml:space="preserve">(Redação dada pela Lei nº 13.874, de 2019)</w:t>
        </w:r>
      </w:hyperlink>
      <w:r w:rsidDel="00000000" w:rsidR="00000000" w:rsidRPr="00000000">
        <w:rPr>
          <w:rtl w:val="0"/>
        </w:rPr>
      </w:r>
    </w:p>
    <w:p w:rsidR="00000000" w:rsidDel="00000000" w:rsidP="00000000" w:rsidRDefault="00000000" w:rsidRPr="00000000" w14:paraId="00000160">
      <w:pPr>
        <w:spacing w:after="0" w:line="240" w:lineRule="auto"/>
        <w:ind w:left="2268" w:firstLine="0"/>
        <w:jc w:val="both"/>
        <w:rPr>
          <w:rFonts w:ascii="Verdana" w:cs="Verdana" w:eastAsia="Verdana" w:hAnsi="Verdana"/>
          <w:sz w:val="20"/>
          <w:szCs w:val="20"/>
        </w:rPr>
      </w:pPr>
      <w:r w:rsidDel="00000000" w:rsidR="00000000" w:rsidRPr="00000000">
        <w:rPr>
          <w:rFonts w:ascii="Verdana" w:cs="Verdana" w:eastAsia="Verdana" w:hAnsi="Verdana"/>
          <w:sz w:val="20"/>
          <w:szCs w:val="20"/>
          <w:highlight w:val="white"/>
          <w:rtl w:val="0"/>
        </w:rPr>
        <w:t xml:space="preserve">Art. 422. Os contratantes são obrigados a guardar, assim na conclusão do contrato, como em sua execução, os princípios de probidade e boa-fé.</w:t>
      </w:r>
      <w:r w:rsidDel="00000000" w:rsidR="00000000" w:rsidRPr="00000000">
        <w:rPr>
          <w:rtl w:val="0"/>
        </w:rPr>
      </w:r>
    </w:p>
    <w:p w:rsidR="00000000" w:rsidDel="00000000" w:rsidP="00000000" w:rsidRDefault="00000000" w:rsidRPr="00000000" w14:paraId="00000161">
      <w:pPr>
        <w:spacing w:after="0" w:line="240" w:lineRule="auto"/>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62">
      <w:pPr>
        <w:spacing w:after="0" w:line="360" w:lineRule="auto"/>
        <w:ind w:firstLine="851"/>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rtl w:val="0"/>
        </w:rPr>
        <w:t xml:space="preserve">A função social do contrato guarda semelhança com a função social da propriedade e pode ser traduzida de modo a garantir um justo equilíbrio entre as partes.</w:t>
      </w:r>
      <w:r w:rsidDel="00000000" w:rsidR="00000000" w:rsidRPr="00000000">
        <w:rPr>
          <w:rtl w:val="0"/>
        </w:rPr>
      </w:r>
    </w:p>
    <w:p w:rsidR="00000000" w:rsidDel="00000000" w:rsidP="00000000" w:rsidRDefault="00000000" w:rsidRPr="00000000" w14:paraId="00000163">
      <w:pPr>
        <w:spacing w:after="0" w:line="240" w:lineRule="auto"/>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64">
      <w:pPr>
        <w:spacing w:after="0" w:line="240" w:lineRule="auto"/>
        <w:ind w:firstLine="851"/>
        <w:jc w:val="both"/>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Maria Helena Diniz (2022, p. 90), admite que:</w:t>
      </w:r>
    </w:p>
    <w:p w:rsidR="00000000" w:rsidDel="00000000" w:rsidP="00000000" w:rsidRDefault="00000000" w:rsidRPr="00000000" w14:paraId="00000165">
      <w:pPr>
        <w:spacing w:after="0" w:line="240" w:lineRule="auto"/>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66">
      <w:pPr>
        <w:spacing w:after="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rtl w:val="0"/>
        </w:rPr>
        <w:t xml:space="preserve">Como a lei não define a locução função social do contrato, procuramos delinear alguns parâmetros a serem seguidos: solidariedade; justiça social; livre iniciativa; progresso social; livre circulação de bens e serviços; produção de riquezas; equilíbrio das prestações, evitando o abuso do poder econômico, a desigualdade entre os contratantes e a desproporcionalidade; valores jurídicos, sociais, econômicos e morais; respeito à dignidade da pessoa humana.</w:t>
      </w:r>
      <w:r w:rsidDel="00000000" w:rsidR="00000000" w:rsidRPr="00000000">
        <w:rPr>
          <w:rtl w:val="0"/>
        </w:rPr>
      </w:r>
    </w:p>
    <w:p w:rsidR="00000000" w:rsidDel="00000000" w:rsidP="00000000" w:rsidRDefault="00000000" w:rsidRPr="00000000" w14:paraId="00000167">
      <w:pPr>
        <w:spacing w:after="0" w:line="240" w:lineRule="auto"/>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68">
      <w:pPr>
        <w:spacing w:after="0" w:line="360" w:lineRule="auto"/>
        <w:ind w:firstLine="851"/>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rtl w:val="0"/>
        </w:rPr>
        <w:t xml:space="preserve">Na visão de Caio Mário (2022. p. 29), a função social do contrato, se apresenta como limitadora da autonomia da vontade das partes:</w:t>
      </w:r>
      <w:r w:rsidDel="00000000" w:rsidR="00000000" w:rsidRPr="00000000">
        <w:rPr>
          <w:rtl w:val="0"/>
        </w:rPr>
      </w:r>
    </w:p>
    <w:p w:rsidR="00000000" w:rsidDel="00000000" w:rsidP="00000000" w:rsidRDefault="00000000" w:rsidRPr="00000000" w14:paraId="00000169">
      <w:pPr>
        <w:spacing w:after="0" w:line="240" w:lineRule="auto"/>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6A">
      <w:pPr>
        <w:spacing w:after="0" w:line="240" w:lineRule="auto"/>
        <w:ind w:left="2268" w:firstLine="0"/>
        <w:jc w:val="both"/>
        <w:rPr>
          <w:rFonts w:ascii="Verdana" w:cs="Verdana" w:eastAsia="Verdana" w:hAnsi="Verdana"/>
          <w:color w:val="000000"/>
          <w:sz w:val="20"/>
          <w:szCs w:val="20"/>
        </w:rPr>
      </w:pPr>
      <w:r w:rsidDel="00000000" w:rsidR="00000000" w:rsidRPr="00000000">
        <w:rPr>
          <w:rFonts w:ascii="Verdana" w:cs="Verdana" w:eastAsia="Verdana" w:hAnsi="Verdana"/>
          <w:color w:val="000000"/>
          <w:sz w:val="20"/>
          <w:szCs w:val="20"/>
          <w:rtl w:val="0"/>
        </w:rPr>
        <w:t xml:space="preserve">O contrato ainda existe para que as pessoas interajam com a finalidade de satisfazerem os seus interesses. A função social do contrato serve para limitar a autonomia da vontade quando tal autonomia esteja em confronto com o interesse social e este deva prevalecer, ainda que essa limitação possa atingir a própria liberdade de não contratar, como ocorre nas hipóteses de contrato obrigatório.</w:t>
      </w:r>
    </w:p>
    <w:p w:rsidR="00000000" w:rsidDel="00000000" w:rsidP="00000000" w:rsidRDefault="00000000" w:rsidRPr="00000000" w14:paraId="0000016B">
      <w:pPr>
        <w:spacing w:after="300" w:before="300" w:line="360" w:lineRule="auto"/>
        <w:ind w:firstLine="850"/>
        <w:jc w:val="both"/>
        <w:rPr>
          <w:rFonts w:ascii="Verdana" w:cs="Verdana" w:eastAsia="Verdana" w:hAnsi="Verdana"/>
          <w:sz w:val="20"/>
          <w:szCs w:val="20"/>
          <w:highlight w:val="white"/>
        </w:rPr>
      </w:pPr>
      <w:r w:rsidDel="00000000" w:rsidR="00000000" w:rsidRPr="00000000">
        <w:rPr>
          <w:rFonts w:ascii="Verdana" w:cs="Verdana" w:eastAsia="Verdana" w:hAnsi="Verdana"/>
          <w:sz w:val="24"/>
          <w:szCs w:val="24"/>
          <w:highlight w:val="white"/>
          <w:rtl w:val="0"/>
        </w:rPr>
        <w:t xml:space="preserve">De acordo com o Tribunal de Justiça de Minas Gerais, em seu entendimento jurisprudencial sobre a função social dos contratos, assevera:  </w:t>
      </w:r>
      <w:r w:rsidDel="00000000" w:rsidR="00000000" w:rsidRPr="00000000">
        <w:rPr>
          <w:rFonts w:ascii="Verdana" w:cs="Verdana" w:eastAsia="Verdana" w:hAnsi="Verdana"/>
          <w:sz w:val="24"/>
          <w:szCs w:val="24"/>
          <w:rtl w:val="0"/>
        </w:rPr>
        <w:t xml:space="preserve"> </w:t>
      </w:r>
      <w:r w:rsidDel="00000000" w:rsidR="00000000" w:rsidRPr="00000000">
        <w:rPr>
          <w:rtl w:val="0"/>
        </w:rPr>
      </w:r>
    </w:p>
    <w:p w:rsidR="00000000" w:rsidDel="00000000" w:rsidP="00000000" w:rsidRDefault="00000000" w:rsidRPr="00000000" w14:paraId="0000016C">
      <w:pPr>
        <w:shd w:fill="ffffff" w:val="clear"/>
        <w:spacing w:after="0" w:line="240" w:lineRule="auto"/>
        <w:ind w:left="2268" w:firstLine="0"/>
        <w:jc w:val="both"/>
        <w:rPr>
          <w:rFonts w:ascii="Verdana" w:cs="Verdana" w:eastAsia="Verdana" w:hAnsi="Verdana"/>
          <w:color w:val="373a3c"/>
          <w:sz w:val="20"/>
          <w:szCs w:val="20"/>
        </w:rPr>
      </w:pPr>
      <w:r w:rsidDel="00000000" w:rsidR="00000000" w:rsidRPr="00000000">
        <w:rPr>
          <w:rFonts w:ascii="Verdana" w:cs="Verdana" w:eastAsia="Verdana" w:hAnsi="Verdana"/>
          <w:color w:val="000000"/>
          <w:sz w:val="20"/>
          <w:szCs w:val="20"/>
          <w:rtl w:val="0"/>
        </w:rPr>
        <w:t xml:space="preserve">TJ-MG - Apelação Cível AC 10000211935416001 MG (TJ-MG)</w:t>
        <w:br w:type="textWrapping"/>
      </w:r>
      <w:r w:rsidDel="00000000" w:rsidR="00000000" w:rsidRPr="00000000">
        <w:rPr>
          <w:rFonts w:ascii="Verdana" w:cs="Verdana" w:eastAsia="Verdana" w:hAnsi="Verdana"/>
          <w:color w:val="373a3c"/>
          <w:sz w:val="20"/>
          <w:szCs w:val="20"/>
          <w:rtl w:val="0"/>
        </w:rPr>
        <w:t xml:space="preserve">Jurisprudência </w:t>
      </w:r>
      <w:r w:rsidDel="00000000" w:rsidR="00000000" w:rsidRPr="00000000">
        <w:rPr>
          <w:rFonts w:ascii="Verdana" w:cs="Verdana" w:eastAsia="Verdana" w:hAnsi="Verdana"/>
          <w:color w:val="669337"/>
          <w:sz w:val="20"/>
          <w:szCs w:val="20"/>
          <w:rtl w:val="0"/>
        </w:rPr>
        <w:t xml:space="preserve">Data de publicação: 11/11/2021</w:t>
        <w:br w:type="textWrapping"/>
      </w:r>
      <w:r w:rsidDel="00000000" w:rsidR="00000000" w:rsidRPr="00000000">
        <w:rPr>
          <w:rFonts w:ascii="Verdana" w:cs="Verdana" w:eastAsia="Verdana" w:hAnsi="Verdana"/>
          <w:color w:val="373a3c"/>
          <w:sz w:val="20"/>
          <w:szCs w:val="20"/>
          <w:rtl w:val="0"/>
        </w:rPr>
        <w:t xml:space="preserve">EMENTA: APELAÇÃO CÍVEL - DEMANDA REVISIONAL DE </w:t>
      </w:r>
      <w:r w:rsidDel="00000000" w:rsidR="00000000" w:rsidRPr="00000000">
        <w:rPr>
          <w:rFonts w:ascii="Verdana" w:cs="Verdana" w:eastAsia="Verdana" w:hAnsi="Verdana"/>
          <w:b w:val="1"/>
          <w:color w:val="373a3c"/>
          <w:sz w:val="20"/>
          <w:szCs w:val="20"/>
          <w:rtl w:val="0"/>
        </w:rPr>
        <w:t xml:space="preserve">CONTRATO</w:t>
      </w:r>
      <w:r w:rsidDel="00000000" w:rsidR="00000000" w:rsidRPr="00000000">
        <w:rPr>
          <w:rFonts w:ascii="Verdana" w:cs="Verdana" w:eastAsia="Verdana" w:hAnsi="Verdana"/>
          <w:color w:val="373a3c"/>
          <w:sz w:val="20"/>
          <w:szCs w:val="20"/>
          <w:rtl w:val="0"/>
        </w:rPr>
        <w:t xml:space="preserve"> BANCÁRIO - PACTA SUNT SERVANDA - RELATIVIDADE - CÓDIGO DE DEFESA DO CONSUMIDOR - APLICABILIDADE - ADEQUAÇÃO DO </w:t>
      </w:r>
      <w:r w:rsidDel="00000000" w:rsidR="00000000" w:rsidRPr="00000000">
        <w:rPr>
          <w:rFonts w:ascii="Verdana" w:cs="Verdana" w:eastAsia="Verdana" w:hAnsi="Verdana"/>
          <w:b w:val="1"/>
          <w:color w:val="373a3c"/>
          <w:sz w:val="20"/>
          <w:szCs w:val="20"/>
          <w:rtl w:val="0"/>
        </w:rPr>
        <w:t xml:space="preserve">CONTRATO</w:t>
      </w:r>
      <w:r w:rsidDel="00000000" w:rsidR="00000000" w:rsidRPr="00000000">
        <w:rPr>
          <w:rFonts w:ascii="Verdana" w:cs="Verdana" w:eastAsia="Verdana" w:hAnsi="Verdana"/>
          <w:color w:val="373a3c"/>
          <w:sz w:val="20"/>
          <w:szCs w:val="20"/>
          <w:rtl w:val="0"/>
        </w:rPr>
        <w:t xml:space="preserve"> - </w:t>
      </w:r>
      <w:r w:rsidDel="00000000" w:rsidR="00000000" w:rsidRPr="00000000">
        <w:rPr>
          <w:rFonts w:ascii="Verdana" w:cs="Verdana" w:eastAsia="Verdana" w:hAnsi="Verdana"/>
          <w:b w:val="1"/>
          <w:color w:val="373a3c"/>
          <w:sz w:val="20"/>
          <w:szCs w:val="20"/>
          <w:rtl w:val="0"/>
        </w:rPr>
        <w:t xml:space="preserve">FUNÇÃO</w:t>
      </w:r>
      <w:r w:rsidDel="00000000" w:rsidR="00000000" w:rsidRPr="00000000">
        <w:rPr>
          <w:rFonts w:ascii="Verdana" w:cs="Verdana" w:eastAsia="Verdana" w:hAnsi="Verdana"/>
          <w:color w:val="373a3c"/>
          <w:sz w:val="20"/>
          <w:szCs w:val="20"/>
          <w:rtl w:val="0"/>
        </w:rPr>
        <w:t xml:space="preserve"> </w:t>
      </w:r>
      <w:r w:rsidDel="00000000" w:rsidR="00000000" w:rsidRPr="00000000">
        <w:rPr>
          <w:rFonts w:ascii="Verdana" w:cs="Verdana" w:eastAsia="Verdana" w:hAnsi="Verdana"/>
          <w:b w:val="1"/>
          <w:color w:val="373a3c"/>
          <w:sz w:val="20"/>
          <w:szCs w:val="20"/>
          <w:rtl w:val="0"/>
        </w:rPr>
        <w:t xml:space="preserve">SOCIAL</w:t>
      </w:r>
      <w:r w:rsidDel="00000000" w:rsidR="00000000" w:rsidRPr="00000000">
        <w:rPr>
          <w:rFonts w:ascii="Verdana" w:cs="Verdana" w:eastAsia="Verdana" w:hAnsi="Verdana"/>
          <w:color w:val="373a3c"/>
          <w:sz w:val="20"/>
          <w:szCs w:val="20"/>
          <w:rtl w:val="0"/>
        </w:rPr>
        <w:t xml:space="preserve"> - COMISSÃO DE PERMANÊNCIA - AUSÊNCIA DE PREVISÃO NO </w:t>
      </w:r>
      <w:r w:rsidDel="00000000" w:rsidR="00000000" w:rsidRPr="00000000">
        <w:rPr>
          <w:rFonts w:ascii="Verdana" w:cs="Verdana" w:eastAsia="Verdana" w:hAnsi="Verdana"/>
          <w:b w:val="1"/>
          <w:color w:val="373a3c"/>
          <w:sz w:val="20"/>
          <w:szCs w:val="20"/>
          <w:rtl w:val="0"/>
        </w:rPr>
        <w:t xml:space="preserve">CONTRATO</w:t>
      </w:r>
      <w:r w:rsidDel="00000000" w:rsidR="00000000" w:rsidRPr="00000000">
        <w:rPr>
          <w:rFonts w:ascii="Verdana" w:cs="Verdana" w:eastAsia="Verdana" w:hAnsi="Verdana"/>
          <w:color w:val="373a3c"/>
          <w:sz w:val="20"/>
          <w:szCs w:val="20"/>
          <w:rtl w:val="0"/>
        </w:rPr>
        <w:t xml:space="preserve">. - No âmbito de abrangência e da solidariedade serão alcançadas tanto a boa-fé objetiva, quanto a </w:t>
      </w:r>
      <w:r w:rsidDel="00000000" w:rsidR="00000000" w:rsidRPr="00000000">
        <w:rPr>
          <w:rFonts w:ascii="Verdana" w:cs="Verdana" w:eastAsia="Verdana" w:hAnsi="Verdana"/>
          <w:b w:val="1"/>
          <w:color w:val="373a3c"/>
          <w:sz w:val="20"/>
          <w:szCs w:val="20"/>
          <w:rtl w:val="0"/>
        </w:rPr>
        <w:t xml:space="preserve">função</w:t>
      </w:r>
      <w:r w:rsidDel="00000000" w:rsidR="00000000" w:rsidRPr="00000000">
        <w:rPr>
          <w:rFonts w:ascii="Verdana" w:cs="Verdana" w:eastAsia="Verdana" w:hAnsi="Verdana"/>
          <w:color w:val="373a3c"/>
          <w:sz w:val="20"/>
          <w:szCs w:val="20"/>
          <w:rtl w:val="0"/>
        </w:rPr>
        <w:t xml:space="preserve"> </w:t>
      </w:r>
      <w:r w:rsidDel="00000000" w:rsidR="00000000" w:rsidRPr="00000000">
        <w:rPr>
          <w:rFonts w:ascii="Verdana" w:cs="Verdana" w:eastAsia="Verdana" w:hAnsi="Verdana"/>
          <w:b w:val="1"/>
          <w:color w:val="373a3c"/>
          <w:sz w:val="20"/>
          <w:szCs w:val="20"/>
          <w:rtl w:val="0"/>
        </w:rPr>
        <w:t xml:space="preserve">social</w:t>
      </w:r>
      <w:r w:rsidDel="00000000" w:rsidR="00000000" w:rsidRPr="00000000">
        <w:rPr>
          <w:rFonts w:ascii="Verdana" w:cs="Verdana" w:eastAsia="Verdana" w:hAnsi="Verdana"/>
          <w:color w:val="373a3c"/>
          <w:sz w:val="20"/>
          <w:szCs w:val="20"/>
          <w:rtl w:val="0"/>
        </w:rPr>
        <w:t xml:space="preserve"> do </w:t>
      </w:r>
      <w:r w:rsidDel="00000000" w:rsidR="00000000" w:rsidRPr="00000000">
        <w:rPr>
          <w:rFonts w:ascii="Verdana" w:cs="Verdana" w:eastAsia="Verdana" w:hAnsi="Verdana"/>
          <w:b w:val="1"/>
          <w:color w:val="373a3c"/>
          <w:sz w:val="20"/>
          <w:szCs w:val="20"/>
          <w:rtl w:val="0"/>
        </w:rPr>
        <w:t xml:space="preserve">contrato</w:t>
      </w:r>
      <w:r w:rsidDel="00000000" w:rsidR="00000000" w:rsidRPr="00000000">
        <w:rPr>
          <w:rFonts w:ascii="Verdana" w:cs="Verdana" w:eastAsia="Verdana" w:hAnsi="Verdana"/>
          <w:color w:val="373a3c"/>
          <w:sz w:val="20"/>
          <w:szCs w:val="20"/>
          <w:rtl w:val="0"/>
        </w:rPr>
        <w:t xml:space="preserve"> e, somente quando houver prática de atos sem estes imperativos, é que deve ser considerado o abuso de direito. Assim, evidenciada a violação do princípio da solidariedade, exige-se uma adequação das cláusulas contratuais, observando assim o substrato intrínseco da </w:t>
      </w:r>
      <w:r w:rsidDel="00000000" w:rsidR="00000000" w:rsidRPr="00000000">
        <w:rPr>
          <w:rFonts w:ascii="Verdana" w:cs="Verdana" w:eastAsia="Verdana" w:hAnsi="Verdana"/>
          <w:b w:val="1"/>
          <w:color w:val="373a3c"/>
          <w:sz w:val="20"/>
          <w:szCs w:val="20"/>
          <w:rtl w:val="0"/>
        </w:rPr>
        <w:t xml:space="preserve">função</w:t>
      </w:r>
      <w:r w:rsidDel="00000000" w:rsidR="00000000" w:rsidRPr="00000000">
        <w:rPr>
          <w:rFonts w:ascii="Verdana" w:cs="Verdana" w:eastAsia="Verdana" w:hAnsi="Verdana"/>
          <w:color w:val="373a3c"/>
          <w:sz w:val="20"/>
          <w:szCs w:val="20"/>
          <w:rtl w:val="0"/>
        </w:rPr>
        <w:t xml:space="preserve"> </w:t>
      </w:r>
      <w:r w:rsidDel="00000000" w:rsidR="00000000" w:rsidRPr="00000000">
        <w:rPr>
          <w:rFonts w:ascii="Verdana" w:cs="Verdana" w:eastAsia="Verdana" w:hAnsi="Verdana"/>
          <w:b w:val="1"/>
          <w:color w:val="373a3c"/>
          <w:sz w:val="20"/>
          <w:szCs w:val="20"/>
          <w:rtl w:val="0"/>
        </w:rPr>
        <w:t xml:space="preserve">social</w:t>
      </w:r>
      <w:r w:rsidDel="00000000" w:rsidR="00000000" w:rsidRPr="00000000">
        <w:rPr>
          <w:rFonts w:ascii="Verdana" w:cs="Verdana" w:eastAsia="Verdana" w:hAnsi="Verdana"/>
          <w:color w:val="373a3c"/>
          <w:sz w:val="20"/>
          <w:szCs w:val="20"/>
          <w:rtl w:val="0"/>
        </w:rPr>
        <w:t xml:space="preserve"> do </w:t>
      </w:r>
      <w:r w:rsidDel="00000000" w:rsidR="00000000" w:rsidRPr="00000000">
        <w:rPr>
          <w:rFonts w:ascii="Verdana" w:cs="Verdana" w:eastAsia="Verdana" w:hAnsi="Verdana"/>
          <w:b w:val="1"/>
          <w:color w:val="373a3c"/>
          <w:sz w:val="20"/>
          <w:szCs w:val="20"/>
          <w:rtl w:val="0"/>
        </w:rPr>
        <w:t xml:space="preserve">contrato</w:t>
      </w:r>
      <w:r w:rsidDel="00000000" w:rsidR="00000000" w:rsidRPr="00000000">
        <w:rPr>
          <w:rFonts w:ascii="Verdana" w:cs="Verdana" w:eastAsia="Verdana" w:hAnsi="Verdana"/>
          <w:color w:val="373a3c"/>
          <w:sz w:val="20"/>
          <w:szCs w:val="20"/>
          <w:rtl w:val="0"/>
        </w:rPr>
        <w:t xml:space="preserve"> - Segundo entendimento consolidado do STJ, a comissão de permanência (expressamente ou veladamente pactuada) não pode ser cumulada com outros encargos, devendo se limitar à soma das obrigações remuneratórias e moratórias previstas no </w:t>
      </w:r>
      <w:r w:rsidDel="00000000" w:rsidR="00000000" w:rsidRPr="00000000">
        <w:rPr>
          <w:rFonts w:ascii="Verdana" w:cs="Verdana" w:eastAsia="Verdana" w:hAnsi="Verdana"/>
          <w:b w:val="1"/>
          <w:color w:val="373a3c"/>
          <w:sz w:val="20"/>
          <w:szCs w:val="20"/>
          <w:rtl w:val="0"/>
        </w:rPr>
        <w:t xml:space="preserve">contrato</w:t>
      </w:r>
      <w:r w:rsidDel="00000000" w:rsidR="00000000" w:rsidRPr="00000000">
        <w:rPr>
          <w:rFonts w:ascii="Verdana" w:cs="Verdana" w:eastAsia="Verdana" w:hAnsi="Verdana"/>
          <w:color w:val="373a3c"/>
          <w:sz w:val="20"/>
          <w:szCs w:val="20"/>
          <w:rtl w:val="0"/>
        </w:rPr>
        <w:t xml:space="preserve">, já que vedada a cobrança de taxas flutuantes - Inexiste previsão contratual ou provas da efetiva cobrança da "Comissão de Permanência" não há como reconhecer qualquer ilegalidade.</w:t>
      </w:r>
    </w:p>
    <w:p w:rsidR="00000000" w:rsidDel="00000000" w:rsidP="00000000" w:rsidRDefault="00000000" w:rsidRPr="00000000" w14:paraId="0000016D">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240" w:lineRule="auto"/>
        <w:ind w:left="2268" w:right="0" w:firstLine="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AGRAVO INTERNO. RECURSO ESPECIAL (CPC/2015). DIREITO CIVIL. PLANO DE SAÚDE. MEDICAMENTO ANTINEOPLÁSICO PALBOCICLIBE (IBRANCE). RECUSA DE COBERTURA. ALEGAÇÃO DE NÃO ENQUATRAMENTO NA DIRETRIZ DE COBERTURA DA ANS. CARÁTER EXEMPLIFICATIVO DO ROL DE PROCEDIMENTOS E DIRETRIZES DA ANS. JURISPRUDÊNCIA PACÍFICA DA TERCEIRA TURMA. FUNÇÃO SOCIAL DO CONTRATO DE PLANO DE SAÚDE. 1. Controvérsia pertinente à obrigatoriedade de cobertura do medicamento antineoplásico PALBOCICLIBE (IBRANCE) a paciente acometida de câncer de mama metastático, tendo havido recusa da operadora sob o fundamento de ausência de enquadramento do caso nas diretrizes de utilização previstas no rol de procedimentos mínimos da ANS. 2. Caráter exemplificativo do rol de procedimentos da ANS, na linha da jurisprudência pacífica desta TURMA, firmada com base na função social do contrato de plano de saúde. 3. Caso concreto em que a paciente se encontra acometida de doença oncológica grave e progressiva, de modo que a recusa genérica de cobertura (sem instauração de junta médica nos termos da RN ANS 424/2017) deixou a paciente padecendo à própria sorte no tratamento da doença, desatendendo assim à função social do contrato, segundo a linha de entendimento desta TURMA. 4. AGRAVO INTERNO DESPROVIDO.</w:t>
      </w:r>
    </w:p>
    <w:p w:rsidR="00000000" w:rsidDel="00000000" w:rsidP="00000000" w:rsidRDefault="00000000" w:rsidRPr="00000000" w14:paraId="0000016E">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240" w:lineRule="auto"/>
        <w:ind w:left="2268" w:right="0" w:firstLine="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(STJ - AgInt no REsp: 1911407 SP 2020/0331756-3, Relator: Ministro PAULO DE TARSO SANSEVERINO, Data de Julgamento: 18/05/2021, T3 - TERCEIRA TURMA, Data de Publicação: DJe 24/05/2021)</w:t>
      </w:r>
    </w:p>
    <w:p w:rsidR="00000000" w:rsidDel="00000000" w:rsidP="00000000" w:rsidRDefault="00000000" w:rsidRPr="00000000" w14:paraId="0000016F">
      <w:pPr>
        <w:spacing w:after="0" w:line="240" w:lineRule="auto"/>
        <w:ind w:left="2268" w:firstLine="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70">
      <w:pPr>
        <w:spacing w:after="0" w:line="240" w:lineRule="auto"/>
        <w:rPr>
          <w:rFonts w:ascii="Verdana" w:cs="Verdana" w:eastAsia="Verdana" w:hAnsi="Verdana"/>
          <w:sz w:val="24"/>
          <w:szCs w:val="24"/>
        </w:rPr>
      </w:pPr>
      <w:r w:rsidDel="00000000" w:rsidR="00000000" w:rsidRPr="00000000">
        <w:rPr>
          <w:rFonts w:ascii="Verdana" w:cs="Verdana" w:eastAsia="Verdana" w:hAnsi="Verdana"/>
          <w:sz w:val="24"/>
          <w:szCs w:val="24"/>
          <w:rtl w:val="0"/>
        </w:rPr>
        <w:tab/>
      </w:r>
    </w:p>
    <w:p w:rsidR="00000000" w:rsidDel="00000000" w:rsidP="00000000" w:rsidRDefault="00000000" w:rsidRPr="00000000" w14:paraId="00000171">
      <w:pPr>
        <w:spacing w:after="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rtl w:val="0"/>
        </w:rPr>
        <w:t xml:space="preserve">Nesse sentido, observa-se que o contrato ainda que faça lei entre as partes, exerce a função de instrumento pelas partes de modo a equilibrar os objetivos desejados por ambas na validade do instrumento do contrato.</w:t>
      </w:r>
      <w:r w:rsidDel="00000000" w:rsidR="00000000" w:rsidRPr="00000000">
        <w:rPr>
          <w:rtl w:val="0"/>
        </w:rPr>
      </w:r>
    </w:p>
    <w:p w:rsidR="00000000" w:rsidDel="00000000" w:rsidP="00000000" w:rsidRDefault="00000000" w:rsidRPr="00000000" w14:paraId="00000172">
      <w:pPr>
        <w:spacing w:after="0" w:line="240" w:lineRule="auto"/>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73">
      <w:pPr>
        <w:spacing w:after="0" w:line="360" w:lineRule="auto"/>
        <w:ind w:firstLine="851"/>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rtl w:val="0"/>
        </w:rPr>
        <w:t xml:space="preserve">Ademais, da mesma forma que atua o princípio da função social do contrato, atua o princípio da boa-fé objetiva que diz respeito ao modo que as partes se comportam nas relações jurídicas. A boa-fé objetiva está intimamente relacionada com a honestidade das partes ao colocarem sua vontade no papel para gerar uma obrigação.</w:t>
      </w:r>
      <w:r w:rsidDel="00000000" w:rsidR="00000000" w:rsidRPr="00000000">
        <w:rPr>
          <w:rtl w:val="0"/>
        </w:rPr>
      </w:r>
    </w:p>
    <w:p w:rsidR="00000000" w:rsidDel="00000000" w:rsidP="00000000" w:rsidRDefault="00000000" w:rsidRPr="00000000" w14:paraId="00000174">
      <w:pPr>
        <w:spacing w:after="0" w:line="240" w:lineRule="auto"/>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75">
      <w:pPr>
        <w:spacing w:after="0" w:line="240" w:lineRule="auto"/>
        <w:ind w:firstLine="851"/>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rtl w:val="0"/>
        </w:rPr>
        <w:t xml:space="preserve">Segundo Maria Helena Diniz (2022, p. 90 e 91):</w:t>
      </w:r>
      <w:r w:rsidDel="00000000" w:rsidR="00000000" w:rsidRPr="00000000">
        <w:rPr>
          <w:rtl w:val="0"/>
        </w:rPr>
      </w:r>
    </w:p>
    <w:p w:rsidR="00000000" w:rsidDel="00000000" w:rsidP="00000000" w:rsidRDefault="00000000" w:rsidRPr="00000000" w14:paraId="00000176">
      <w:pPr>
        <w:spacing w:after="0" w:line="240" w:lineRule="auto"/>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77">
      <w:pPr>
        <w:spacing w:after="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rtl w:val="0"/>
        </w:rPr>
        <w:t xml:space="preserve">(...) </w:t>
      </w:r>
      <w:r w:rsidDel="00000000" w:rsidR="00000000" w:rsidRPr="00000000">
        <w:rPr>
          <w:rFonts w:ascii="Verdana" w:cs="Verdana" w:eastAsia="Verdana" w:hAnsi="Verdana"/>
          <w:i w:val="1"/>
          <w:sz w:val="20"/>
          <w:szCs w:val="20"/>
          <w:rtl w:val="0"/>
        </w:rPr>
        <w:t xml:space="preserve">boa-fé objetiva</w:t>
      </w:r>
      <w:r w:rsidDel="00000000" w:rsidR="00000000" w:rsidRPr="00000000">
        <w:rPr>
          <w:rFonts w:ascii="Verdana" w:cs="Verdana" w:eastAsia="Verdana" w:hAnsi="Verdana"/>
          <w:sz w:val="20"/>
          <w:szCs w:val="20"/>
          <w:rtl w:val="0"/>
        </w:rPr>
        <w:t xml:space="preserve"> </w:t>
      </w:r>
      <w:r w:rsidDel="00000000" w:rsidR="00000000" w:rsidRPr="00000000">
        <w:rPr>
          <w:rFonts w:ascii="Verdana" w:cs="Verdana" w:eastAsia="Verdana" w:hAnsi="Verdana"/>
          <w:color w:val="000000"/>
          <w:sz w:val="20"/>
          <w:szCs w:val="20"/>
          <w:rtl w:val="0"/>
        </w:rPr>
        <w:t xml:space="preserve">(CC, arts. 113, 187 e 422), intimamente ligado não só à interpretação do contrato, mas também ao interesse social de segurança das relações jurídicas, uma vez que as partes deverão agir com lealdade, honestidade, honradez, probidade (integridade de caráter), denodo e confiança recíprocas, isto é, proceder com boa-fé, esclarecendo os fatos e o conteúdo das cláusulas, procurando o equilíbrio nas prestações, respeitando o outro contratante, não traindo a confiança depositada, procurando cooperar, evitando o enriquecimento indevido, não divulgando informações sigilosas etc. Trata-se, portanto, da </w:t>
      </w:r>
      <w:r w:rsidDel="00000000" w:rsidR="00000000" w:rsidRPr="00000000">
        <w:rPr>
          <w:rFonts w:ascii="Verdana" w:cs="Verdana" w:eastAsia="Verdana" w:hAnsi="Verdana"/>
          <w:i w:val="1"/>
          <w:color w:val="000000"/>
          <w:sz w:val="20"/>
          <w:szCs w:val="20"/>
          <w:rtl w:val="0"/>
        </w:rPr>
        <w:t xml:space="preserve">boa-fé objetiva</w:t>
      </w:r>
      <w:r w:rsidDel="00000000" w:rsidR="00000000" w:rsidRPr="00000000">
        <w:rPr>
          <w:rFonts w:ascii="Verdana" w:cs="Verdana" w:eastAsia="Verdana" w:hAnsi="Verdana"/>
          <w:color w:val="000000"/>
          <w:sz w:val="20"/>
          <w:szCs w:val="20"/>
          <w:rtl w:val="0"/>
        </w:rPr>
        <w:t xml:space="preserve">. Daí sua íntima relação com o </w:t>
      </w:r>
      <w:r w:rsidDel="00000000" w:rsidR="00000000" w:rsidRPr="00000000">
        <w:rPr>
          <w:rFonts w:ascii="Verdana" w:cs="Verdana" w:eastAsia="Verdana" w:hAnsi="Verdana"/>
          <w:i w:val="1"/>
          <w:color w:val="000000"/>
          <w:sz w:val="20"/>
          <w:szCs w:val="20"/>
          <w:rtl w:val="0"/>
        </w:rPr>
        <w:t xml:space="preserve">princípio da probidade</w:t>
      </w:r>
      <w:r w:rsidDel="00000000" w:rsidR="00000000" w:rsidRPr="00000000">
        <w:rPr>
          <w:rFonts w:ascii="Verdana" w:cs="Verdana" w:eastAsia="Verdana" w:hAnsi="Verdana"/>
          <w:color w:val="000000"/>
          <w:sz w:val="20"/>
          <w:szCs w:val="20"/>
          <w:rtl w:val="0"/>
        </w:rPr>
        <w:t xml:space="preserve">, que requer honestidade no procedimento dos contratantes e no cumprimento das obrigações contratuais. </w:t>
      </w:r>
      <w:r w:rsidDel="00000000" w:rsidR="00000000" w:rsidRPr="00000000">
        <w:rPr>
          <w:rtl w:val="0"/>
        </w:rPr>
      </w:r>
    </w:p>
    <w:p w:rsidR="00000000" w:rsidDel="00000000" w:rsidP="00000000" w:rsidRDefault="00000000" w:rsidRPr="00000000" w14:paraId="00000178">
      <w:pPr>
        <w:spacing w:after="0" w:line="240" w:lineRule="auto"/>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79">
      <w:pPr>
        <w:spacing w:after="0" w:line="360" w:lineRule="auto"/>
        <w:ind w:firstLine="851"/>
        <w:jc w:val="both"/>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O contrato em análise possui validade, nos termos do previsto no artigo 104, incisos I, II, e III do Código Civil, apresentando partes capazes, objeto lícito, possível e determinado em lei e a forma também foi observada - contrato de honorários advocatícios:</w:t>
      </w:r>
    </w:p>
    <w:p w:rsidR="00000000" w:rsidDel="00000000" w:rsidP="00000000" w:rsidRDefault="00000000" w:rsidRPr="00000000" w14:paraId="0000017A">
      <w:pPr>
        <w:keepNext w:val="0"/>
        <w:keepLines w:val="0"/>
        <w:pageBreakBefore w:val="0"/>
        <w:widowControl w:val="1"/>
        <w:pBdr>
          <w:top w:space="0" w:sz="0" w:val="nil"/>
          <w:left w:space="0" w:sz="0" w:val="nil"/>
          <w:bottom w:space="0" w:sz="0" w:val="nil"/>
          <w:right w:space="0" w:sz="0" w:val="nil"/>
          <w:between w:space="0" w:sz="0" w:val="nil"/>
        </w:pBdr>
        <w:shd w:fill="ffffff" w:val="clear"/>
        <w:spacing w:after="160" w:before="0" w:line="240" w:lineRule="auto"/>
        <w:ind w:left="2268" w:right="0" w:firstLine="0"/>
        <w:jc w:val="left"/>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Art. 104. A validade do negócio jurídico requer:</w:t>
      </w:r>
    </w:p>
    <w:p w:rsidR="00000000" w:rsidDel="00000000" w:rsidP="00000000" w:rsidRDefault="00000000" w:rsidRPr="00000000" w14:paraId="0000017B">
      <w:pPr>
        <w:keepNext w:val="0"/>
        <w:keepLines w:val="0"/>
        <w:pageBreakBefore w:val="0"/>
        <w:widowControl w:val="1"/>
        <w:pBdr>
          <w:top w:space="0" w:sz="0" w:val="nil"/>
          <w:left w:space="0" w:sz="0" w:val="nil"/>
          <w:bottom w:space="0" w:sz="0" w:val="nil"/>
          <w:right w:space="0" w:sz="0" w:val="nil"/>
          <w:between w:space="0" w:sz="0" w:val="nil"/>
        </w:pBdr>
        <w:shd w:fill="ffffff" w:val="clear"/>
        <w:spacing w:after="160" w:before="0" w:line="240" w:lineRule="auto"/>
        <w:ind w:left="2268" w:right="0" w:firstLine="0"/>
        <w:jc w:val="left"/>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I - agente capaz;</w:t>
      </w:r>
    </w:p>
    <w:p w:rsidR="00000000" w:rsidDel="00000000" w:rsidP="00000000" w:rsidRDefault="00000000" w:rsidRPr="00000000" w14:paraId="0000017C">
      <w:pPr>
        <w:keepNext w:val="0"/>
        <w:keepLines w:val="0"/>
        <w:pageBreakBefore w:val="0"/>
        <w:widowControl w:val="1"/>
        <w:pBdr>
          <w:top w:space="0" w:sz="0" w:val="nil"/>
          <w:left w:space="0" w:sz="0" w:val="nil"/>
          <w:bottom w:space="0" w:sz="0" w:val="nil"/>
          <w:right w:space="0" w:sz="0" w:val="nil"/>
          <w:between w:space="0" w:sz="0" w:val="nil"/>
        </w:pBdr>
        <w:shd w:fill="ffffff" w:val="clear"/>
        <w:spacing w:after="160" w:before="0" w:line="240" w:lineRule="auto"/>
        <w:ind w:left="2268" w:right="0" w:firstLine="0"/>
        <w:jc w:val="left"/>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II - objeto lícito, possível, determinado ou determinável;</w:t>
      </w:r>
    </w:p>
    <w:p w:rsidR="00000000" w:rsidDel="00000000" w:rsidP="00000000" w:rsidRDefault="00000000" w:rsidRPr="00000000" w14:paraId="0000017D">
      <w:pPr>
        <w:keepNext w:val="0"/>
        <w:keepLines w:val="0"/>
        <w:pageBreakBefore w:val="0"/>
        <w:widowControl w:val="1"/>
        <w:pBdr>
          <w:top w:space="0" w:sz="0" w:val="nil"/>
          <w:left w:space="0" w:sz="0" w:val="nil"/>
          <w:bottom w:space="0" w:sz="0" w:val="nil"/>
          <w:right w:space="0" w:sz="0" w:val="nil"/>
          <w:between w:space="0" w:sz="0" w:val="nil"/>
        </w:pBdr>
        <w:shd w:fill="ffffff" w:val="clear"/>
        <w:spacing w:after="160" w:before="0" w:line="240" w:lineRule="auto"/>
        <w:ind w:left="2268" w:right="0" w:firstLine="0"/>
        <w:jc w:val="left"/>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III - forma prescrita ou não defesa em lei.</w:t>
      </w:r>
    </w:p>
    <w:p w:rsidR="00000000" w:rsidDel="00000000" w:rsidP="00000000" w:rsidRDefault="00000000" w:rsidRPr="00000000" w14:paraId="0000017E">
      <w:pPr>
        <w:spacing w:after="0" w:line="360" w:lineRule="auto"/>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7F">
      <w:pPr>
        <w:spacing w:after="0" w:line="360" w:lineRule="auto"/>
        <w:ind w:firstLine="851"/>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rtl w:val="0"/>
        </w:rPr>
        <w:t xml:space="preserve">Entretanto, no caso em tela, a cláusula de nº 12, do contrato de honorários advocatícios apresenta patamar superior à metade do valor que a consulente tem direito. Numa primeira análise, não parece plausível, nem admissível que o advogado fique com mais da metade do valor que seu cliente vai receber, ainda que tal previsão esteja no contrato e este seja válido.</w:t>
      </w:r>
      <w:r w:rsidDel="00000000" w:rsidR="00000000" w:rsidRPr="00000000">
        <w:rPr>
          <w:rtl w:val="0"/>
        </w:rPr>
      </w:r>
    </w:p>
    <w:p w:rsidR="00000000" w:rsidDel="00000000" w:rsidP="00000000" w:rsidRDefault="00000000" w:rsidRPr="00000000" w14:paraId="00000180">
      <w:pPr>
        <w:spacing w:after="0" w:line="240" w:lineRule="auto"/>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81">
      <w:pPr>
        <w:spacing w:after="0" w:line="360" w:lineRule="auto"/>
        <w:ind w:firstLine="851"/>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rtl w:val="0"/>
        </w:rPr>
        <w:t xml:space="preserve">Assim, em que pese os princípios inerentes aos contratos em geral, deve ser analisada ainda a legislação processual civil, considerando a ação ajuizada e o estatuto da advocacia.</w:t>
      </w:r>
      <w:r w:rsidDel="00000000" w:rsidR="00000000" w:rsidRPr="00000000">
        <w:rPr>
          <w:rtl w:val="0"/>
        </w:rPr>
      </w:r>
    </w:p>
    <w:p w:rsidR="00000000" w:rsidDel="00000000" w:rsidP="00000000" w:rsidRDefault="00000000" w:rsidRPr="00000000" w14:paraId="00000182">
      <w:pPr>
        <w:spacing w:after="0" w:line="360" w:lineRule="auto"/>
        <w:ind w:firstLine="851"/>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rtl w:val="0"/>
        </w:rPr>
        <w:t xml:space="preserve">Diante da especificidade do caso, é oportuno vale registrar que existem três tipos de honorários, de acordo com o artigo 22 da Lei 8.906/94 (Estatuto da Advocacia e da OAB): os contratuais, que é o caso discutido pela Consulente; os sucumbenciais que são os devidos pela parte perdedora de um processo ao advogado da parte vencedora e os arbitrados judicialmente.</w:t>
      </w:r>
      <w:r w:rsidDel="00000000" w:rsidR="00000000" w:rsidRPr="00000000">
        <w:rPr>
          <w:rtl w:val="0"/>
        </w:rPr>
      </w:r>
    </w:p>
    <w:p w:rsidR="00000000" w:rsidDel="00000000" w:rsidP="00000000" w:rsidRDefault="00000000" w:rsidRPr="00000000" w14:paraId="00000183">
      <w:pPr>
        <w:spacing w:after="0" w:line="360" w:lineRule="auto"/>
        <w:ind w:firstLine="851"/>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rtl w:val="0"/>
        </w:rPr>
        <w:t xml:space="preserve">No Código de Processo Civil, os honorários sucumbenciais estão previstos no artigo 85, contemplemos:</w:t>
      </w:r>
      <w:r w:rsidDel="00000000" w:rsidR="00000000" w:rsidRPr="00000000">
        <w:rPr>
          <w:rtl w:val="0"/>
        </w:rPr>
      </w:r>
    </w:p>
    <w:p w:rsidR="00000000" w:rsidDel="00000000" w:rsidP="00000000" w:rsidRDefault="00000000" w:rsidRPr="00000000" w14:paraId="00000184">
      <w:pPr>
        <w:spacing w:after="0" w:line="240" w:lineRule="auto"/>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85">
      <w:pPr>
        <w:spacing w:after="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rtl w:val="0"/>
        </w:rPr>
        <w:t xml:space="preserve">Art. 85. A sentença condenará o vencido a pagar honorários ao advogado do vencedor.</w:t>
      </w:r>
      <w:r w:rsidDel="00000000" w:rsidR="00000000" w:rsidRPr="00000000">
        <w:rPr>
          <w:rtl w:val="0"/>
        </w:rPr>
      </w:r>
    </w:p>
    <w:p w:rsidR="00000000" w:rsidDel="00000000" w:rsidP="00000000" w:rsidRDefault="00000000" w:rsidRPr="00000000" w14:paraId="00000186">
      <w:pPr>
        <w:spacing w:after="200" w:before="20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rtl w:val="0"/>
        </w:rPr>
        <w:t xml:space="preserve">§ 1º São devidos honorários advocatícios na reconvenção, no cumprimento de sentença, provisório ou definitivo, na execução, resistida ou não, e nos recursos interpostos, cumulativamente.</w:t>
      </w:r>
      <w:r w:rsidDel="00000000" w:rsidR="00000000" w:rsidRPr="00000000">
        <w:rPr>
          <w:rtl w:val="0"/>
        </w:rPr>
      </w:r>
    </w:p>
    <w:p w:rsidR="00000000" w:rsidDel="00000000" w:rsidP="00000000" w:rsidRDefault="00000000" w:rsidRPr="00000000" w14:paraId="00000187">
      <w:pPr>
        <w:spacing w:after="200" w:before="20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rtl w:val="0"/>
        </w:rPr>
        <w:t xml:space="preserve">§ 2º Os honorários serão fixados entre o mínimo de dez e o máximo de vinte por cento sobre o valor da condenação, do proveito econômico obtido ou, não sendo possível mensurá-lo, sobre o valor atualizado da causa, atendidos:</w:t>
      </w:r>
      <w:r w:rsidDel="00000000" w:rsidR="00000000" w:rsidRPr="00000000">
        <w:rPr>
          <w:rtl w:val="0"/>
        </w:rPr>
      </w:r>
    </w:p>
    <w:p w:rsidR="00000000" w:rsidDel="00000000" w:rsidP="00000000" w:rsidRDefault="00000000" w:rsidRPr="00000000" w14:paraId="00000188">
      <w:pPr>
        <w:spacing w:after="200" w:before="20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rtl w:val="0"/>
        </w:rPr>
        <w:t xml:space="preserve">I - o grau de zelo do profissional;</w:t>
      </w:r>
      <w:r w:rsidDel="00000000" w:rsidR="00000000" w:rsidRPr="00000000">
        <w:rPr>
          <w:rtl w:val="0"/>
        </w:rPr>
      </w:r>
    </w:p>
    <w:p w:rsidR="00000000" w:rsidDel="00000000" w:rsidP="00000000" w:rsidRDefault="00000000" w:rsidRPr="00000000" w14:paraId="00000189">
      <w:pPr>
        <w:spacing w:after="200" w:before="20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rtl w:val="0"/>
        </w:rPr>
        <w:t xml:space="preserve">II - o lugar de prestação do serviço;</w:t>
      </w:r>
      <w:r w:rsidDel="00000000" w:rsidR="00000000" w:rsidRPr="00000000">
        <w:rPr>
          <w:rtl w:val="0"/>
        </w:rPr>
      </w:r>
    </w:p>
    <w:p w:rsidR="00000000" w:rsidDel="00000000" w:rsidP="00000000" w:rsidRDefault="00000000" w:rsidRPr="00000000" w14:paraId="0000018A">
      <w:pPr>
        <w:spacing w:after="200" w:before="20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rtl w:val="0"/>
        </w:rPr>
        <w:t xml:space="preserve">III - a natureza e a importância da causa;</w:t>
      </w:r>
      <w:r w:rsidDel="00000000" w:rsidR="00000000" w:rsidRPr="00000000">
        <w:rPr>
          <w:rtl w:val="0"/>
        </w:rPr>
      </w:r>
    </w:p>
    <w:p w:rsidR="00000000" w:rsidDel="00000000" w:rsidP="00000000" w:rsidRDefault="00000000" w:rsidRPr="00000000" w14:paraId="0000018B">
      <w:pPr>
        <w:spacing w:after="200" w:before="20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rtl w:val="0"/>
        </w:rPr>
        <w:t xml:space="preserve">IV - o trabalho realizado pelo advogado e o tempo exigido para o seu serviço.</w:t>
      </w:r>
      <w:r w:rsidDel="00000000" w:rsidR="00000000" w:rsidRPr="00000000">
        <w:rPr>
          <w:rtl w:val="0"/>
        </w:rPr>
      </w:r>
    </w:p>
    <w:p w:rsidR="00000000" w:rsidDel="00000000" w:rsidP="00000000" w:rsidRDefault="00000000" w:rsidRPr="00000000" w14:paraId="0000018C">
      <w:pPr>
        <w:spacing w:after="0" w:line="360" w:lineRule="auto"/>
        <w:ind w:firstLine="851"/>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rtl w:val="0"/>
        </w:rPr>
        <w:t xml:space="preserve">Os honorários sucumbenciais são pagos pela parte vencida ao patrono do vencedor, de modo que a cláusula está correta neste quesito. De acordo com a cláusula 12 do contrato, os honorários sucumbenciais serão integralmente do CONTRATADO que é o advogado Cléber, não havendo participação da Consulente nesse recebimento.</w:t>
      </w:r>
      <w:r w:rsidDel="00000000" w:rsidR="00000000" w:rsidRPr="00000000">
        <w:rPr>
          <w:rtl w:val="0"/>
        </w:rPr>
      </w:r>
    </w:p>
    <w:p w:rsidR="00000000" w:rsidDel="00000000" w:rsidP="00000000" w:rsidRDefault="00000000" w:rsidRPr="00000000" w14:paraId="0000018D">
      <w:pPr>
        <w:spacing w:after="0" w:line="360" w:lineRule="auto"/>
        <w:ind w:firstLine="851"/>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rtl w:val="0"/>
        </w:rPr>
        <w:t xml:space="preserve">Na ação ajuizada pelo advogado Cléber, o juiz julgou procedente a demanda e condenou a parte contrária, no caso, a PNTM Financeira S.A., à sucumbência de 20% sobre o valor da condenação que foi de R$5.000,00. Os 20% serão pagos pela parte que perdeu ao Cléber.</w:t>
      </w:r>
      <w:r w:rsidDel="00000000" w:rsidR="00000000" w:rsidRPr="00000000">
        <w:rPr>
          <w:rtl w:val="0"/>
        </w:rPr>
      </w:r>
    </w:p>
    <w:p w:rsidR="00000000" w:rsidDel="00000000" w:rsidP="00000000" w:rsidRDefault="00000000" w:rsidRPr="00000000" w14:paraId="0000018E">
      <w:pPr>
        <w:spacing w:after="0" w:line="360" w:lineRule="auto"/>
        <w:ind w:firstLine="851"/>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rtl w:val="0"/>
        </w:rPr>
        <w:t xml:space="preserve">O patamar estipulado de 60% do valor do proveito econômico que a Consulente tiver está dissonante do previsto no artigo 38 do Código de Ética que prevê que o valor dos honorários contratuais e os sucumbenciais, não pode ser superior ao que a parte irá receber em razão do processo, vejamos:</w:t>
      </w:r>
      <w:r w:rsidDel="00000000" w:rsidR="00000000" w:rsidRPr="00000000">
        <w:rPr>
          <w:rtl w:val="0"/>
        </w:rPr>
      </w:r>
    </w:p>
    <w:p w:rsidR="00000000" w:rsidDel="00000000" w:rsidP="00000000" w:rsidRDefault="00000000" w:rsidRPr="00000000" w14:paraId="0000018F">
      <w:pPr>
        <w:shd w:fill="ffffff" w:val="clear"/>
        <w:spacing w:after="480" w:line="36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rtl w:val="0"/>
        </w:rPr>
        <w:t xml:space="preserve">Art. 38. Na hipótese da adoção de cláusula quota litis, os honorários devem ser necessariamente representados por pecúnia e, quando acrescidos dos de honorários da sucumbência, não podem ser superiores às vantagens advindas em favor do constituinte ou do cliente.</w:t>
      </w:r>
      <w:r w:rsidDel="00000000" w:rsidR="00000000" w:rsidRPr="00000000">
        <w:rPr>
          <w:rtl w:val="0"/>
        </w:rPr>
      </w:r>
    </w:p>
    <w:p w:rsidR="00000000" w:rsidDel="00000000" w:rsidP="00000000" w:rsidRDefault="00000000" w:rsidRPr="00000000" w14:paraId="00000190">
      <w:pPr>
        <w:spacing w:after="0" w:before="480" w:line="360" w:lineRule="auto"/>
        <w:ind w:firstLine="851"/>
        <w:jc w:val="both"/>
        <w:rPr>
          <w:rFonts w:ascii="Verdana" w:cs="Verdana" w:eastAsia="Verdana" w:hAnsi="Verdana"/>
          <w:b w:val="1"/>
          <w:color w:val="000000"/>
          <w:sz w:val="24"/>
          <w:szCs w:val="24"/>
          <w:u w:val="single"/>
        </w:rPr>
      </w:pPr>
      <w:r w:rsidDel="00000000" w:rsidR="00000000" w:rsidRPr="00000000">
        <w:rPr>
          <w:rFonts w:ascii="Verdana" w:cs="Verdana" w:eastAsia="Verdana" w:hAnsi="Verdana"/>
          <w:color w:val="000000"/>
          <w:sz w:val="24"/>
          <w:szCs w:val="24"/>
          <w:rtl w:val="0"/>
        </w:rPr>
        <w:t xml:space="preserve">Na somatória do valor convencionado de 60% (sessenta por cento) do contrato mais os 20% (vinte por cento) arbitrados a título de sucumbência, o advogado Cléber ficaria com 80% (oitenta por cento) do valor que a consulente irá receber, estando esse </w:t>
      </w:r>
      <w:r w:rsidDel="00000000" w:rsidR="00000000" w:rsidRPr="00000000">
        <w:rPr>
          <w:rFonts w:ascii="Verdana" w:cs="Verdana" w:eastAsia="Verdana" w:hAnsi="Verdana"/>
          <w:b w:val="1"/>
          <w:color w:val="000000"/>
          <w:sz w:val="24"/>
          <w:szCs w:val="24"/>
          <w:u w:val="single"/>
          <w:rtl w:val="0"/>
        </w:rPr>
        <w:t xml:space="preserve">percentual abusivo e desproporcional, fatores que, sem dúvidas, levam ao enriquecimento indevido do advogado Cléber.</w:t>
      </w:r>
    </w:p>
    <w:p w:rsidR="00000000" w:rsidDel="00000000" w:rsidP="00000000" w:rsidRDefault="00000000" w:rsidRPr="00000000" w14:paraId="00000191">
      <w:pPr>
        <w:spacing w:after="0" w:before="480" w:line="360" w:lineRule="auto"/>
        <w:ind w:firstLine="851"/>
        <w:jc w:val="both"/>
        <w:rPr>
          <w:rFonts w:ascii="Verdana" w:cs="Verdana" w:eastAsia="Verdana" w:hAnsi="Verdana"/>
          <w:b w:val="1"/>
          <w:sz w:val="24"/>
          <w:szCs w:val="24"/>
          <w:u w:val="single"/>
        </w:rPr>
      </w:pPr>
      <w:r w:rsidDel="00000000" w:rsidR="00000000" w:rsidRPr="00000000">
        <w:rPr>
          <w:rFonts w:ascii="Verdana" w:cs="Verdana" w:eastAsia="Verdana" w:hAnsi="Verdana"/>
          <w:color w:val="000000"/>
          <w:sz w:val="24"/>
          <w:szCs w:val="24"/>
          <w:rtl w:val="0"/>
        </w:rPr>
        <w:t xml:space="preserve">Os honorários contratuais mais os honorários sucumbenciais não podem exceder 50% do proveito econômico.</w:t>
      </w:r>
      <w:r w:rsidDel="00000000" w:rsidR="00000000" w:rsidRPr="00000000">
        <w:rPr>
          <w:rtl w:val="0"/>
        </w:rPr>
      </w:r>
    </w:p>
    <w:p w:rsidR="00000000" w:rsidDel="00000000" w:rsidP="00000000" w:rsidRDefault="00000000" w:rsidRPr="00000000" w14:paraId="00000192">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360" w:lineRule="auto"/>
        <w:ind w:left="0" w:right="0" w:firstLine="851"/>
        <w:jc w:val="both"/>
        <w:rPr>
          <w:rFonts w:ascii="Verdana" w:cs="Verdana" w:eastAsia="Verdana" w:hAnsi="Verdana"/>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 Ademais, a jurisprudência descrita a seguir do Tribunal de Justiça de São Paulo, demonstra o entendimento sobre os valores de honorários advocatícios:</w:t>
      </w:r>
    </w:p>
    <w:p w:rsidR="00000000" w:rsidDel="00000000" w:rsidP="00000000" w:rsidRDefault="00000000" w:rsidRPr="00000000" w14:paraId="00000193">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240" w:lineRule="auto"/>
        <w:ind w:left="2268" w:right="0" w:firstLine="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1"/>
          <w:i w:val="0"/>
          <w:smallCaps w:val="0"/>
          <w:strike w:val="0"/>
          <w:color w:val="202124"/>
          <w:sz w:val="20"/>
          <w:szCs w:val="20"/>
          <w:highlight w:val="white"/>
          <w:u w:val="none"/>
          <w:vertAlign w:val="baseline"/>
          <w:rtl w:val="0"/>
        </w:rPr>
        <w:t xml:space="preserve">PROCESSUAL CIVIL. EXECUÇÃO DE SENTENÇA CONTRA A FAZENDA PÚBLICA. AGRAVO DE INSTRUMENTO. HONORÁRIOS ADVOCATÍCIOS - EXISTÊNCIA DE DOIS ADVOGADOS HABILITADOS NO FEITO - VALOR DOS HONORÁRIOS CONTRATUAIS SOMADOS QUE ATINGE O PATAMAR DE 60% DO VALOR DA EXECUÇÃO - IMODERAÇÃO - LIMITAÇÃO AO PERCENTUAL DE 30% 1. Considerando: [a] o percentual excessivo dos honorários contratuais somados (quase 60% do valor da execução); [b] que o proveito econômico das advogadas suplantaria o do próprio cliente, com ofensa ao art. 36 do Código de Ética e Disciplina da OAB; e [c] as situações específicas mencionadas (idade da autora por ocasião da assinatura do contrato de honorários; ausência de ciência, pelo inventariante, dos honorários fixados inicialmente pela falecida etc.), necessário limitar o destaque dos honorários advocatícios contratuais a 30% (trinta por cento) do valor da execução. 2. Agravo improvido.</w:t>
      </w:r>
      <w:r w:rsidDel="00000000" w:rsidR="00000000" w:rsidRPr="00000000">
        <w:rPr>
          <w:rtl w:val="0"/>
        </w:rPr>
      </w:r>
    </w:p>
    <w:p w:rsidR="00000000" w:rsidDel="00000000" w:rsidP="00000000" w:rsidRDefault="00000000" w:rsidRPr="00000000" w14:paraId="00000194">
      <w:pPr>
        <w:shd w:fill="ffffff" w:val="clear"/>
        <w:spacing w:after="24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b w:val="1"/>
          <w:color w:val="202124"/>
          <w:sz w:val="20"/>
          <w:szCs w:val="20"/>
          <w:highlight w:val="white"/>
          <w:rtl w:val="0"/>
        </w:rPr>
        <w:t xml:space="preserve">(TRF-4 - AG: 50137568520134040000 5013756-85.2013.404.0000, Relator: CARLOS EDUARDO THOMPSON FLORES LENZ, Data de Julgamento: 17/07/2013, TERCEIRA TURMA, Data de Publicação: D.E. 18/07/2013)</w:t>
      </w:r>
      <w:r w:rsidDel="00000000" w:rsidR="00000000" w:rsidRPr="00000000">
        <w:rPr>
          <w:rtl w:val="0"/>
        </w:rPr>
      </w:r>
    </w:p>
    <w:p w:rsidR="00000000" w:rsidDel="00000000" w:rsidP="00000000" w:rsidRDefault="00000000" w:rsidRPr="00000000" w14:paraId="00000195">
      <w:pPr>
        <w:shd w:fill="ffffff" w:val="clear"/>
        <w:spacing w:after="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highlight w:val="white"/>
          <w:rtl w:val="0"/>
        </w:rPr>
        <w:t xml:space="preserve">TJ-SP - Apelação Cível AC 10061583520208260008 SP 1006158-35.2020.8.26.0008 (TJ-SP). </w:t>
      </w:r>
      <w:r w:rsidDel="00000000" w:rsidR="00000000" w:rsidRPr="00000000">
        <w:rPr>
          <w:rtl w:val="0"/>
        </w:rPr>
      </w:r>
    </w:p>
    <w:p w:rsidR="00000000" w:rsidDel="00000000" w:rsidP="00000000" w:rsidRDefault="00000000" w:rsidRPr="00000000" w14:paraId="00000196">
      <w:pPr>
        <w:shd w:fill="ffffff" w:val="clear"/>
        <w:spacing w:after="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b w:val="1"/>
          <w:color w:val="000000"/>
          <w:sz w:val="20"/>
          <w:szCs w:val="20"/>
          <w:highlight w:val="white"/>
          <w:rtl w:val="0"/>
        </w:rPr>
        <w:t xml:space="preserve">Jurisprudência Data de publicação: 16/11/2021</w:t>
      </w:r>
      <w:r w:rsidDel="00000000" w:rsidR="00000000" w:rsidRPr="00000000">
        <w:rPr>
          <w:rtl w:val="0"/>
        </w:rPr>
      </w:r>
    </w:p>
    <w:p w:rsidR="00000000" w:rsidDel="00000000" w:rsidP="00000000" w:rsidRDefault="00000000" w:rsidRPr="00000000" w14:paraId="00000197">
      <w:pPr>
        <w:shd w:fill="ffffff" w:val="clear"/>
        <w:spacing w:after="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highlight w:val="white"/>
          <w:rtl w:val="0"/>
        </w:rPr>
        <w:t xml:space="preserve">AÇÃO DECLARATÓRIA DE REVISÃO DE CLÁUSULA CONTRATUAL - Sentença de improcedência do pedido – Recurso do autor – HONORÁRIOS ADVOCATÍCIOS – Pedido de majoração - Magistrado que fixou o valor da verba honorária em favor do patrono da requerida em R$ 234,00 - Os honorários advocatícios devem recompensar de modo condigno o trabalho realizado pelo advogado - Majoração - Cabimento – Fixação de acordo com os critérios de razoabilidade e proporcionalidade, além de remunerar com dignidade o trabalho desenvolvido - Verba majorada para R$ 1.100,00 (um mil e cem reais) - RECURSO PROVIDO.</w:t>
      </w:r>
      <w:r w:rsidDel="00000000" w:rsidR="00000000" w:rsidRPr="00000000">
        <w:rPr>
          <w:rtl w:val="0"/>
        </w:rPr>
      </w:r>
    </w:p>
    <w:p w:rsidR="00000000" w:rsidDel="00000000" w:rsidP="00000000" w:rsidRDefault="00000000" w:rsidRPr="00000000" w14:paraId="00000198">
      <w:pPr>
        <w:shd w:fill="ffffff" w:val="clear"/>
        <w:spacing w:after="0" w:line="240" w:lineRule="auto"/>
        <w:ind w:left="2268" w:firstLine="0"/>
        <w:jc w:val="both"/>
        <w:rPr>
          <w:rFonts w:ascii="Verdana" w:cs="Verdana" w:eastAsia="Verdana" w:hAnsi="Verdana"/>
          <w:b w:val="1"/>
          <w:color w:val="000000"/>
        </w:rPr>
      </w:pPr>
      <w:r w:rsidDel="00000000" w:rsidR="00000000" w:rsidRPr="00000000">
        <w:rPr>
          <w:rtl w:val="0"/>
        </w:rPr>
      </w:r>
    </w:p>
    <w:p w:rsidR="00000000" w:rsidDel="00000000" w:rsidP="00000000" w:rsidRDefault="00000000" w:rsidRPr="00000000" w14:paraId="00000199">
      <w:pPr>
        <w:shd w:fill="ffffff" w:val="clear"/>
        <w:spacing w:after="0" w:line="240" w:lineRule="auto"/>
        <w:ind w:left="2268" w:firstLine="0"/>
        <w:jc w:val="both"/>
        <w:rPr>
          <w:rFonts w:ascii="Verdana" w:cs="Verdana" w:eastAsia="Verdana" w:hAnsi="Verdana"/>
          <w:b w:val="1"/>
          <w:color w:val="000000"/>
        </w:rPr>
      </w:pPr>
      <w:r w:rsidDel="00000000" w:rsidR="00000000" w:rsidRPr="00000000">
        <w:rPr>
          <w:rtl w:val="0"/>
        </w:rPr>
      </w:r>
    </w:p>
    <w:p w:rsidR="00000000" w:rsidDel="00000000" w:rsidP="00000000" w:rsidRDefault="00000000" w:rsidRPr="00000000" w14:paraId="0000019A">
      <w:pPr>
        <w:shd w:fill="ffffff" w:val="clear"/>
        <w:spacing w:after="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b w:val="1"/>
          <w:color w:val="000000"/>
          <w:rtl w:val="0"/>
        </w:rPr>
        <w:t xml:space="preserve">Decisão Monocrática - </w:t>
      </w:r>
      <w:r w:rsidDel="00000000" w:rsidR="00000000" w:rsidRPr="00000000">
        <w:rPr>
          <w:rFonts w:ascii="Verdana" w:cs="Verdana" w:eastAsia="Verdana" w:hAnsi="Verdana"/>
          <w:color w:val="000000"/>
          <w:rtl w:val="0"/>
        </w:rPr>
        <w:t xml:space="preserve">AGRAVO EM RECURSO ESPECIAL Nº 2000700 - SP (2021/0324654-0). RELATOR: MINISTRO MARCO BUZZI. AGRAVANTE: GUSTAVO RINALDI RIBEIRO. ADVOGADO: KATIA BORGES VARJÃO - SP307722. AGRAVADO: ROBERTO CARLOS DA SILVA. ADVOGADO: LUIZ ANTÔNIO GAMBELLI - SP025308. DECISÃO. </w:t>
      </w:r>
      <w:r w:rsidDel="00000000" w:rsidR="00000000" w:rsidRPr="00000000">
        <w:rPr>
          <w:rtl w:val="0"/>
        </w:rPr>
      </w:r>
    </w:p>
    <w:p w:rsidR="00000000" w:rsidDel="00000000" w:rsidP="00000000" w:rsidRDefault="00000000" w:rsidRPr="00000000" w14:paraId="0000019B">
      <w:pPr>
        <w:shd w:fill="ffffff" w:val="clear"/>
        <w:spacing w:after="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rtl w:val="0"/>
        </w:rPr>
        <w:t xml:space="preserve">Cuida-se de agravo (art. 1042 do CPC/15), interposto por GUSTAVO RINALDI RIBEIRO, em face de decisão de inadmissibilidade de recurso especial. </w:t>
      </w:r>
      <w:r w:rsidDel="00000000" w:rsidR="00000000" w:rsidRPr="00000000">
        <w:rPr>
          <w:rtl w:val="0"/>
        </w:rPr>
      </w:r>
    </w:p>
    <w:p w:rsidR="00000000" w:rsidDel="00000000" w:rsidP="00000000" w:rsidRDefault="00000000" w:rsidRPr="00000000" w14:paraId="0000019C">
      <w:pPr>
        <w:shd w:fill="ffffff" w:val="clear"/>
        <w:spacing w:after="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rtl w:val="0"/>
        </w:rPr>
        <w:t xml:space="preserve">(...)</w:t>
      </w:r>
      <w:r w:rsidDel="00000000" w:rsidR="00000000" w:rsidRPr="00000000">
        <w:rPr>
          <w:rtl w:val="0"/>
        </w:rPr>
      </w:r>
    </w:p>
    <w:p w:rsidR="00000000" w:rsidDel="00000000" w:rsidP="00000000" w:rsidRDefault="00000000" w:rsidRPr="00000000" w14:paraId="0000019D">
      <w:pPr>
        <w:shd w:fill="ffffff" w:val="clear"/>
        <w:spacing w:after="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rtl w:val="0"/>
        </w:rPr>
        <w:t xml:space="preserve">A irresignação não merece prosperar.</w:t>
      </w:r>
      <w:r w:rsidDel="00000000" w:rsidR="00000000" w:rsidRPr="00000000">
        <w:rPr>
          <w:rtl w:val="0"/>
        </w:rPr>
      </w:r>
    </w:p>
    <w:p w:rsidR="00000000" w:rsidDel="00000000" w:rsidP="00000000" w:rsidRDefault="00000000" w:rsidRPr="00000000" w14:paraId="0000019E">
      <w:pPr>
        <w:shd w:fill="ffffff" w:val="clear"/>
        <w:spacing w:after="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rtl w:val="0"/>
        </w:rPr>
        <w:t xml:space="preserve">(...)</w:t>
      </w:r>
      <w:r w:rsidDel="00000000" w:rsidR="00000000" w:rsidRPr="00000000">
        <w:rPr>
          <w:rtl w:val="0"/>
        </w:rPr>
      </w:r>
    </w:p>
    <w:p w:rsidR="00000000" w:rsidDel="00000000" w:rsidP="00000000" w:rsidRDefault="00000000" w:rsidRPr="00000000" w14:paraId="0000019F">
      <w:pPr>
        <w:shd w:fill="ffffff" w:val="clear"/>
        <w:spacing w:after="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rtl w:val="0"/>
        </w:rPr>
        <w:t xml:space="preserve">Ressalte-se que os honorários devidos ao réu eram de R$ 45.000,00 e não de R$ 90.000,00, devendo ser afastada a tese do réu que o depósito que realizou ao autor em 06/02/2018 foi indevido.</w:t>
      </w:r>
      <w:r w:rsidDel="00000000" w:rsidR="00000000" w:rsidRPr="00000000">
        <w:rPr>
          <w:rtl w:val="0"/>
        </w:rPr>
      </w:r>
    </w:p>
    <w:p w:rsidR="00000000" w:rsidDel="00000000" w:rsidP="00000000" w:rsidRDefault="00000000" w:rsidRPr="00000000" w14:paraId="000001A0">
      <w:pPr>
        <w:shd w:fill="ffffff" w:val="clear"/>
        <w:spacing w:after="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rtl w:val="0"/>
        </w:rPr>
        <w:t xml:space="preserve">(...)</w:t>
      </w:r>
      <w:r w:rsidDel="00000000" w:rsidR="00000000" w:rsidRPr="00000000">
        <w:rPr>
          <w:rtl w:val="0"/>
        </w:rPr>
      </w:r>
    </w:p>
    <w:p w:rsidR="00000000" w:rsidDel="00000000" w:rsidP="00000000" w:rsidRDefault="00000000" w:rsidRPr="00000000" w14:paraId="000001A1">
      <w:pPr>
        <w:shd w:fill="ffffff" w:val="clear"/>
        <w:spacing w:after="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rtl w:val="0"/>
        </w:rPr>
        <w:t xml:space="preserve">“Saliente-se que indevida a soma dos honorários estabelecidos no acordo homologado pelo Egrégio Tribunal Regional do Trabalho da 2ª Região (fls.528) com os honorários contratuais expressamente previstos no contrato de prestação de serviços advocatícios firmado entre as partes (fls. 452).</w:t>
      </w:r>
      <w:r w:rsidDel="00000000" w:rsidR="00000000" w:rsidRPr="00000000">
        <w:rPr>
          <w:rtl w:val="0"/>
        </w:rPr>
      </w:r>
    </w:p>
    <w:p w:rsidR="00000000" w:rsidDel="00000000" w:rsidP="00000000" w:rsidRDefault="00000000" w:rsidRPr="00000000" w14:paraId="000001A2">
      <w:pPr>
        <w:shd w:fill="ffffff" w:val="clear"/>
        <w:spacing w:after="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rtl w:val="0"/>
        </w:rPr>
        <w:t xml:space="preserve">Isso porque ambos os instrumentos se referem à mesma verba honorária contratual, ou seja, 30% do proveito econômico percebido pelo cliente na reclamação trabalhista, sendo inadmissível a cobrança em duplicidade.</w:t>
      </w:r>
      <w:r w:rsidDel="00000000" w:rsidR="00000000" w:rsidRPr="00000000">
        <w:rPr>
          <w:rtl w:val="0"/>
        </w:rPr>
      </w:r>
    </w:p>
    <w:p w:rsidR="00000000" w:rsidDel="00000000" w:rsidP="00000000" w:rsidRDefault="00000000" w:rsidRPr="00000000" w14:paraId="000001A3">
      <w:pPr>
        <w:shd w:fill="ffffff" w:val="clear"/>
        <w:spacing w:after="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rtl w:val="0"/>
        </w:rPr>
        <w:t xml:space="preserve">Tanto é assim que ficou comprovado pelos documentos a fls. 482/483 que o embargante depositou o valor de R$ 60.000,00 ao embargado em 26/09/2016 e realizou novo depósito para o embargado em 06/02/2018, na quantia de R$ 45.000,00, reconhecendo implicitamente que a retenção desta última quantia foi indevida.</w:t>
      </w:r>
      <w:r w:rsidDel="00000000" w:rsidR="00000000" w:rsidRPr="00000000">
        <w:rPr>
          <w:rtl w:val="0"/>
        </w:rPr>
      </w:r>
    </w:p>
    <w:p w:rsidR="00000000" w:rsidDel="00000000" w:rsidP="00000000" w:rsidRDefault="00000000" w:rsidRPr="00000000" w14:paraId="000001A4">
      <w:pPr>
        <w:shd w:fill="ffffff" w:val="clear"/>
        <w:spacing w:after="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highlight w:val="white"/>
          <w:rtl w:val="0"/>
        </w:rPr>
        <w:t xml:space="preserve">Outrossim, o artigo 38 do Código de Ética da Ordem dos Advogados do Brasil veda proveito econômico do profissional superior ao do cliente, não sendo possível que o profissional retenha 60% do total percebido na reclamação trabalhista, a saber:</w:t>
      </w:r>
      <w:r w:rsidDel="00000000" w:rsidR="00000000" w:rsidRPr="00000000">
        <w:rPr>
          <w:rtl w:val="0"/>
        </w:rPr>
      </w:r>
    </w:p>
    <w:p w:rsidR="00000000" w:rsidDel="00000000" w:rsidP="00000000" w:rsidRDefault="00000000" w:rsidRPr="00000000" w14:paraId="000001A5">
      <w:pPr>
        <w:shd w:fill="ffffff" w:val="clear"/>
        <w:spacing w:after="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rtl w:val="0"/>
        </w:rPr>
        <w:t xml:space="preserve">Art. 38. Na hipótese da adoção de cláusula “quota litis”, os honorários devem ser necessariamente representados por pecúnia e, quando acrescidos dos de honorários da sucumbência, não podem ser superiores às vantagens advindas em favor do constituinte ou do cliente”. Sic” (grifou-se)</w:t>
      </w:r>
      <w:r w:rsidDel="00000000" w:rsidR="00000000" w:rsidRPr="00000000">
        <w:rPr>
          <w:rtl w:val="0"/>
        </w:rPr>
      </w:r>
    </w:p>
    <w:p w:rsidR="00000000" w:rsidDel="00000000" w:rsidP="00000000" w:rsidRDefault="00000000" w:rsidRPr="00000000" w14:paraId="000001A6">
      <w:pPr>
        <w:shd w:fill="ffffff" w:val="clear"/>
        <w:spacing w:after="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rtl w:val="0"/>
        </w:rPr>
        <w:t xml:space="preserve">Ademais, é entendimento pacífico deste Superior Tribunal que o magistrado não é obrigado a responder a todas as alegações das partes se já tiver encontrado motivo suficiente para fundamentar a decisão, nem a ater-se aos fundamentos e aos dispositivos legais apontados, mas apenas sobre aqueles considerados suficientes para fundamentar sua decisão, como ocorreu no caso ora em apreço. Precedentes: </w:t>
      </w:r>
      <w:r w:rsidDel="00000000" w:rsidR="00000000" w:rsidRPr="00000000">
        <w:rPr>
          <w:rFonts w:ascii="Verdana" w:cs="Verdana" w:eastAsia="Verdana" w:hAnsi="Verdana"/>
          <w:color w:val="0091ea"/>
          <w:sz w:val="20"/>
          <w:szCs w:val="20"/>
          <w:rtl w:val="0"/>
        </w:rPr>
        <w:t xml:space="preserve">AgInt no REsp 1716263/RS</w:t>
      </w:r>
      <w:r w:rsidDel="00000000" w:rsidR="00000000" w:rsidRPr="00000000">
        <w:rPr>
          <w:rFonts w:ascii="Verdana" w:cs="Verdana" w:eastAsia="Verdana" w:hAnsi="Verdana"/>
          <w:color w:val="000000"/>
          <w:sz w:val="20"/>
          <w:szCs w:val="20"/>
          <w:rtl w:val="0"/>
        </w:rPr>
        <w:t xml:space="preserve">, Rel. Min. MARCO AURÉLIO BELLIZZE, TERCEIRA TURMA, julgado em 07/08/2018, DJe 14/08/2018; </w:t>
      </w:r>
      <w:r w:rsidDel="00000000" w:rsidR="00000000" w:rsidRPr="00000000">
        <w:rPr>
          <w:rFonts w:ascii="Verdana" w:cs="Verdana" w:eastAsia="Verdana" w:hAnsi="Verdana"/>
          <w:color w:val="0091ea"/>
          <w:sz w:val="20"/>
          <w:szCs w:val="20"/>
          <w:rtl w:val="0"/>
        </w:rPr>
        <w:t xml:space="preserve">AgInt no AREsp 1241784/SP</w:t>
      </w:r>
      <w:r w:rsidDel="00000000" w:rsidR="00000000" w:rsidRPr="00000000">
        <w:rPr>
          <w:rFonts w:ascii="Verdana" w:cs="Verdana" w:eastAsia="Verdana" w:hAnsi="Verdana"/>
          <w:color w:val="000000"/>
          <w:sz w:val="20"/>
          <w:szCs w:val="20"/>
          <w:rtl w:val="0"/>
        </w:rPr>
        <w:t xml:space="preserve">, Rel. Min. LUIS FELIPE SALOMÃO, QUARTA TURMA, julgado em 21/06/2018, DJe 27/06/2018.</w:t>
      </w:r>
      <w:r w:rsidDel="00000000" w:rsidR="00000000" w:rsidRPr="00000000">
        <w:rPr>
          <w:rtl w:val="0"/>
        </w:rPr>
      </w:r>
    </w:p>
    <w:p w:rsidR="00000000" w:rsidDel="00000000" w:rsidP="00000000" w:rsidRDefault="00000000" w:rsidRPr="00000000" w14:paraId="000001A7">
      <w:pPr>
        <w:shd w:fill="ffffff" w:val="clear"/>
        <w:spacing w:after="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rtl w:val="0"/>
        </w:rPr>
        <w:t xml:space="preserve">2. Ante o exposto, nego provimento ao agravo em recurso especial. Por conseguinte, nos termos do art. 85, § 11, do CPC/2015, majoro os honorários advocatícios arbitrados na origem em mais 1% (um por cento), totalizando em 13% (treze por cento) sobre o valor da condenação, observado, se for o caso, o disposto no art. 98, § 3º, do CPC/2015.</w:t>
      </w:r>
      <w:r w:rsidDel="00000000" w:rsidR="00000000" w:rsidRPr="00000000">
        <w:rPr>
          <w:rtl w:val="0"/>
        </w:rPr>
      </w:r>
    </w:p>
    <w:p w:rsidR="00000000" w:rsidDel="00000000" w:rsidP="00000000" w:rsidRDefault="00000000" w:rsidRPr="00000000" w14:paraId="000001A8">
      <w:pPr>
        <w:shd w:fill="ffffff" w:val="clear"/>
        <w:spacing w:after="0" w:line="24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color w:val="000000"/>
          <w:sz w:val="20"/>
          <w:szCs w:val="20"/>
          <w:rtl w:val="0"/>
        </w:rPr>
        <w:t xml:space="preserve">Publique-se.</w:t>
      </w:r>
      <w:r w:rsidDel="00000000" w:rsidR="00000000" w:rsidRPr="00000000">
        <w:rPr>
          <w:rtl w:val="0"/>
        </w:rPr>
      </w:r>
    </w:p>
    <w:p w:rsidR="00000000" w:rsidDel="00000000" w:rsidP="00000000" w:rsidRDefault="00000000" w:rsidRPr="00000000" w14:paraId="000001A9">
      <w:pPr>
        <w:spacing w:after="0" w:line="240" w:lineRule="auto"/>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AA">
      <w:pPr>
        <w:spacing w:after="0" w:before="48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rtl w:val="0"/>
        </w:rPr>
        <w:t xml:space="preserve">No ordenamento jurídico vigente, são vedados o enriquecimento ilícito e o enriquecimento sem causa.</w:t>
      </w: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color w:val="000000"/>
          <w:sz w:val="24"/>
          <w:szCs w:val="24"/>
          <w:rtl w:val="0"/>
        </w:rPr>
        <w:t xml:space="preserve">O contrato analisado, apesar de válido no plano de eficácia e de fazer lei entre as partes, pode ser revisto em casos excepcionais de onerosidade excessiva e quando for na direção contrária dos princípios da função social do contrato e da boa-fé objetiva.</w:t>
      </w: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color w:val="000000"/>
          <w:sz w:val="24"/>
          <w:szCs w:val="24"/>
          <w:rtl w:val="0"/>
        </w:rPr>
        <w:t xml:space="preserve">Além disso, o contrato não está em conformidade com a previsão do Código de Ética do advogado.</w:t>
      </w:r>
      <w:r w:rsidDel="00000000" w:rsidR="00000000" w:rsidRPr="00000000">
        <w:rPr>
          <w:rtl w:val="0"/>
        </w:rPr>
      </w:r>
    </w:p>
    <w:p w:rsidR="00000000" w:rsidDel="00000000" w:rsidP="00000000" w:rsidRDefault="00000000" w:rsidRPr="00000000" w14:paraId="000001AB">
      <w:pPr>
        <w:spacing w:after="0" w:before="480" w:line="360" w:lineRule="auto"/>
        <w:ind w:firstLine="720"/>
        <w:jc w:val="both"/>
        <w:rPr>
          <w:rFonts w:ascii="Verdana" w:cs="Verdana" w:eastAsia="Verdana" w:hAnsi="Verdana"/>
          <w:sz w:val="24"/>
          <w:szCs w:val="24"/>
        </w:rPr>
      </w:pPr>
      <w:sdt>
        <w:sdtPr>
          <w:tag w:val="goog_rdk_15"/>
        </w:sdtPr>
        <w:sdtContent>
          <w:commentRangeStart w:id="12"/>
        </w:sdtContent>
      </w:sdt>
      <w:r w:rsidDel="00000000" w:rsidR="00000000" w:rsidRPr="00000000">
        <w:rPr>
          <w:rFonts w:ascii="Verdana" w:cs="Verdana" w:eastAsia="Verdana" w:hAnsi="Verdana"/>
          <w:color w:val="000000"/>
          <w:sz w:val="24"/>
          <w:szCs w:val="24"/>
          <w:rtl w:val="0"/>
        </w:rPr>
        <w:t xml:space="preserve">Conclui-se, diante do exposto, que: no que tange aos honorários sucumbenciais, a cláusula está correta. Conquanto, não é permitida a cobrança de honorários advocatícios, no patamar de (60%).</w:t>
      </w:r>
      <w:commentRangeEnd w:id="12"/>
      <w:r w:rsidDel="00000000" w:rsidR="00000000" w:rsidRPr="00000000">
        <w:commentReference w:id="12"/>
      </w:r>
      <w:r w:rsidDel="00000000" w:rsidR="00000000" w:rsidRPr="00000000">
        <w:rPr>
          <w:rtl w:val="0"/>
        </w:rPr>
      </w:r>
    </w:p>
    <w:p w:rsidR="00000000" w:rsidDel="00000000" w:rsidP="00000000" w:rsidRDefault="00000000" w:rsidRPr="00000000" w14:paraId="000001AC">
      <w:pPr>
        <w:shd w:fill="ffffff" w:val="clear"/>
        <w:spacing w:after="0" w:before="240" w:line="360" w:lineRule="auto"/>
        <w:ind w:firstLine="860"/>
        <w:jc w:val="both"/>
        <w:rPr>
          <w:rFonts w:ascii="Verdana" w:cs="Verdana" w:eastAsia="Verdana" w:hAnsi="Verdana"/>
          <w:b w:val="1"/>
          <w:color w:val="202124"/>
          <w:sz w:val="24"/>
          <w:szCs w:val="24"/>
          <w:highlight w:val="white"/>
        </w:rPr>
      </w:pPr>
      <w:r w:rsidDel="00000000" w:rsidR="00000000" w:rsidRPr="00000000">
        <w:rPr>
          <w:rtl w:val="0"/>
        </w:rPr>
      </w:r>
    </w:p>
    <w:p w:rsidR="00000000" w:rsidDel="00000000" w:rsidP="00000000" w:rsidRDefault="00000000" w:rsidRPr="00000000" w14:paraId="000001AD">
      <w:pPr>
        <w:shd w:fill="ffffff" w:val="clear"/>
        <w:spacing w:after="240" w:before="240" w:line="240" w:lineRule="auto"/>
        <w:ind w:firstLine="851"/>
        <w:jc w:val="both"/>
        <w:rPr>
          <w:rFonts w:ascii="Verdana" w:cs="Verdana" w:eastAsia="Verdana" w:hAnsi="Verdana"/>
          <w:color w:val="202124"/>
          <w:sz w:val="24"/>
          <w:szCs w:val="24"/>
        </w:rPr>
      </w:pPr>
      <w:r w:rsidDel="00000000" w:rsidR="00000000" w:rsidRPr="00000000">
        <w:rPr>
          <w:rFonts w:ascii="Verdana" w:cs="Verdana" w:eastAsia="Verdana" w:hAnsi="Verdana"/>
          <w:color w:val="202124"/>
          <w:sz w:val="24"/>
          <w:szCs w:val="24"/>
          <w:rtl w:val="0"/>
        </w:rPr>
        <w:t xml:space="preserve">Conclusão:</w:t>
      </w:r>
    </w:p>
    <w:p w:rsidR="00000000" w:rsidDel="00000000" w:rsidP="00000000" w:rsidRDefault="00000000" w:rsidRPr="00000000" w14:paraId="000001AE">
      <w:pPr>
        <w:shd w:fill="ffffff" w:val="clear"/>
        <w:spacing w:after="240" w:before="240" w:line="240" w:lineRule="auto"/>
        <w:ind w:firstLine="851"/>
        <w:jc w:val="both"/>
        <w:rPr>
          <w:rFonts w:ascii="Verdana" w:cs="Verdana" w:eastAsia="Verdana" w:hAnsi="Verdana"/>
          <w:color w:val="202124"/>
          <w:sz w:val="24"/>
          <w:szCs w:val="24"/>
        </w:rPr>
      </w:pPr>
      <w:r w:rsidDel="00000000" w:rsidR="00000000" w:rsidRPr="00000000">
        <w:rPr>
          <w:rtl w:val="0"/>
        </w:rPr>
      </w:r>
    </w:p>
    <w:p w:rsidR="00000000" w:rsidDel="00000000" w:rsidP="00000000" w:rsidRDefault="00000000" w:rsidRPr="00000000" w14:paraId="000001AF">
      <w:pPr>
        <w:shd w:fill="ffffff" w:val="clear"/>
        <w:spacing w:after="240" w:before="240" w:line="360" w:lineRule="auto"/>
        <w:ind w:firstLine="851"/>
        <w:jc w:val="both"/>
        <w:rPr>
          <w:rFonts w:ascii="Verdana" w:cs="Verdana" w:eastAsia="Verdana" w:hAnsi="Verdana"/>
          <w:color w:val="202124"/>
          <w:sz w:val="24"/>
          <w:szCs w:val="24"/>
        </w:rPr>
      </w:pPr>
      <w:r w:rsidDel="00000000" w:rsidR="00000000" w:rsidRPr="00000000">
        <w:rPr>
          <w:rFonts w:ascii="Verdana" w:cs="Verdana" w:eastAsia="Verdana" w:hAnsi="Verdana"/>
          <w:color w:val="202124"/>
          <w:sz w:val="24"/>
          <w:szCs w:val="24"/>
          <w:rtl w:val="0"/>
        </w:rPr>
        <w:t xml:space="preserve">Assim, ante a todo o demonstrado, resta mais que evidente que, possíveis vícios contidos no inquérito policial não maculam a ação penal, não causando nulidade do processo, restando nulo somente o ato da interrogação. </w:t>
      </w:r>
    </w:p>
    <w:p w:rsidR="00000000" w:rsidDel="00000000" w:rsidP="00000000" w:rsidRDefault="00000000" w:rsidRPr="00000000" w14:paraId="000001B0">
      <w:pPr>
        <w:shd w:fill="ffffff" w:val="clear"/>
        <w:spacing w:after="240" w:before="240" w:line="360" w:lineRule="auto"/>
        <w:ind w:firstLine="851"/>
        <w:jc w:val="both"/>
        <w:rPr>
          <w:rFonts w:ascii="Verdana" w:cs="Verdana" w:eastAsia="Verdana" w:hAnsi="Verdana"/>
          <w:color w:val="202124"/>
          <w:sz w:val="24"/>
          <w:szCs w:val="24"/>
        </w:rPr>
      </w:pPr>
      <w:r w:rsidDel="00000000" w:rsidR="00000000" w:rsidRPr="00000000">
        <w:rPr>
          <w:rFonts w:ascii="Verdana" w:cs="Verdana" w:eastAsia="Verdana" w:hAnsi="Verdana"/>
          <w:color w:val="202124"/>
          <w:sz w:val="24"/>
          <w:szCs w:val="24"/>
          <w:rtl w:val="0"/>
        </w:rPr>
        <w:t xml:space="preserve">Ademais, mesmo que Sérgio Lorota for condenado a cumprir pena em regime fechado, ele terá a possibilidade de </w:t>
      </w:r>
      <w:r w:rsidDel="00000000" w:rsidR="00000000" w:rsidRPr="00000000">
        <w:rPr>
          <w:rFonts w:ascii="Verdana" w:cs="Verdana" w:eastAsia="Verdana" w:hAnsi="Verdana"/>
          <w:color w:val="000000"/>
          <w:sz w:val="24"/>
          <w:szCs w:val="24"/>
          <w:highlight w:val="white"/>
          <w:rtl w:val="0"/>
        </w:rPr>
        <w:t xml:space="preserve">progressão de regime, após o cumprimento do percentual de 60% (sessenta por cento) da pena, de acordo com o artigo 112 da Lei de Execução Penal com redação da Lei do Pacote Anticrime.</w:t>
      </w:r>
      <w:r w:rsidDel="00000000" w:rsidR="00000000" w:rsidRPr="00000000">
        <w:rPr>
          <w:rtl w:val="0"/>
        </w:rPr>
      </w:r>
    </w:p>
    <w:p w:rsidR="00000000" w:rsidDel="00000000" w:rsidP="00000000" w:rsidRDefault="00000000" w:rsidRPr="00000000" w14:paraId="000001B1">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360" w:lineRule="auto"/>
        <w:ind w:left="0" w:right="0" w:firstLine="851"/>
        <w:jc w:val="both"/>
        <w:rPr>
          <w:rFonts w:ascii="Verdana" w:cs="Verdana" w:eastAsia="Verdana" w:hAnsi="Verdana"/>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Diante de todo narrado, no que tange a matéria sobre direito processual civil, conclui-se que, a financeira poderá apresentar Recurso Adesivo junto ao Recurso de Apelação da consulente.</w:t>
      </w:r>
    </w:p>
    <w:p w:rsidR="00000000" w:rsidDel="00000000" w:rsidP="00000000" w:rsidRDefault="00000000" w:rsidRPr="00000000" w14:paraId="000001B2">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360" w:lineRule="auto"/>
        <w:ind w:left="0" w:right="0" w:firstLine="851"/>
        <w:jc w:val="both"/>
        <w:rPr>
          <w:rFonts w:ascii="Verdana" w:cs="Verdana" w:eastAsia="Verdana" w:hAnsi="Verdana"/>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Em suma, analisando o contrato advocatício sobre a cobrança de honorários no patamar de 60% (sessenta por cento), verifica -se um percentual abusivo e desproporcional, fatores que, sem dúvidas, levam ao enriquecimento indevido do advogado Cléber, não estando em conformidade com a previsão do Código de Ética do advogado.</w:t>
      </w:r>
    </w:p>
    <w:p w:rsidR="00000000" w:rsidDel="00000000" w:rsidP="00000000" w:rsidRDefault="00000000" w:rsidRPr="00000000" w14:paraId="000001B3">
      <w:pPr>
        <w:shd w:fill="ffffff" w:val="clear"/>
        <w:spacing w:after="240" w:before="240" w:line="240" w:lineRule="auto"/>
        <w:ind w:firstLine="851"/>
        <w:jc w:val="both"/>
        <w:rPr>
          <w:rFonts w:ascii="Verdana" w:cs="Verdana" w:eastAsia="Verdana" w:hAnsi="Verdana"/>
          <w:color w:val="202124"/>
          <w:sz w:val="20"/>
          <w:szCs w:val="20"/>
        </w:rPr>
      </w:pPr>
      <w:r w:rsidDel="00000000" w:rsidR="00000000" w:rsidRPr="00000000">
        <w:rPr>
          <w:rtl w:val="0"/>
        </w:rPr>
      </w:r>
    </w:p>
    <w:p w:rsidR="00000000" w:rsidDel="00000000" w:rsidP="00000000" w:rsidRDefault="00000000" w:rsidRPr="00000000" w14:paraId="000001B4">
      <w:pPr>
        <w:shd w:fill="ffffff" w:val="clear"/>
        <w:spacing w:after="240" w:before="240" w:line="240" w:lineRule="auto"/>
        <w:jc w:val="both"/>
        <w:rPr>
          <w:rFonts w:ascii="Verdana" w:cs="Verdana" w:eastAsia="Verdana" w:hAnsi="Verdana"/>
          <w:color w:val="202124"/>
          <w:sz w:val="24"/>
          <w:szCs w:val="24"/>
        </w:rPr>
      </w:pPr>
      <w:r w:rsidDel="00000000" w:rsidR="00000000" w:rsidRPr="00000000">
        <w:rPr>
          <w:rFonts w:ascii="Verdana" w:cs="Verdana" w:eastAsia="Verdana" w:hAnsi="Verdana"/>
          <w:color w:val="202124"/>
          <w:sz w:val="24"/>
          <w:szCs w:val="24"/>
          <w:rtl w:val="0"/>
        </w:rPr>
        <w:t xml:space="preserve">É o parecer.</w:t>
      </w:r>
    </w:p>
    <w:p w:rsidR="00000000" w:rsidDel="00000000" w:rsidP="00000000" w:rsidRDefault="00000000" w:rsidRPr="00000000" w14:paraId="000001B5">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360" w:lineRule="auto"/>
        <w:ind w:left="0" w:right="0" w:firstLine="851"/>
        <w:jc w:val="both"/>
        <w:rPr>
          <w:rFonts w:ascii="Verdana" w:cs="Verdana" w:eastAsia="Verdana" w:hAnsi="Verdana"/>
          <w:b w:val="0"/>
          <w:i w:val="0"/>
          <w:smallCaps w:val="0"/>
          <w:strike w:val="0"/>
          <w:color w:val="000000"/>
          <w:sz w:val="24"/>
          <w:szCs w:val="24"/>
          <w:u w:val="single"/>
          <w:shd w:fill="auto" w:val="clear"/>
          <w:vertAlign w:val="baseline"/>
        </w:rPr>
      </w:pPr>
      <w:r w:rsidDel="00000000" w:rsidR="00000000" w:rsidRPr="00000000">
        <w:rPr>
          <w:rtl w:val="0"/>
        </w:rPr>
      </w:r>
    </w:p>
    <w:p w:rsidR="00000000" w:rsidDel="00000000" w:rsidP="00000000" w:rsidRDefault="00000000" w:rsidRPr="00000000" w14:paraId="000001B6">
      <w:pPr>
        <w:shd w:fill="ffffff" w:val="clear"/>
        <w:spacing w:after="0" w:before="240" w:line="360" w:lineRule="auto"/>
        <w:jc w:val="both"/>
        <w:rPr>
          <w:rFonts w:ascii="Verdana" w:cs="Verdana" w:eastAsia="Verdana" w:hAnsi="Verdana"/>
          <w:b w:val="1"/>
          <w:color w:val="202124"/>
          <w:sz w:val="24"/>
          <w:szCs w:val="24"/>
          <w:highlight w:val="white"/>
        </w:rPr>
      </w:pPr>
      <w:r w:rsidDel="00000000" w:rsidR="00000000" w:rsidRPr="00000000">
        <w:rPr>
          <w:rtl w:val="0"/>
        </w:rPr>
      </w:r>
    </w:p>
    <w:p w:rsidR="00000000" w:rsidDel="00000000" w:rsidP="00000000" w:rsidRDefault="00000000" w:rsidRPr="00000000" w14:paraId="000001B7">
      <w:pPr>
        <w:shd w:fill="ffffff" w:val="clear"/>
        <w:spacing w:after="0" w:before="240" w:line="360" w:lineRule="auto"/>
        <w:ind w:firstLine="860"/>
        <w:jc w:val="both"/>
        <w:rPr>
          <w:rFonts w:ascii="Verdana" w:cs="Verdana" w:eastAsia="Verdana" w:hAnsi="Verdana"/>
          <w:b w:val="1"/>
          <w:color w:val="202124"/>
          <w:sz w:val="24"/>
          <w:szCs w:val="24"/>
          <w:highlight w:val="white"/>
        </w:rPr>
      </w:pPr>
      <w:r w:rsidDel="00000000" w:rsidR="00000000" w:rsidRPr="00000000">
        <w:rPr>
          <w:rtl w:val="0"/>
        </w:rPr>
      </w:r>
    </w:p>
    <w:p w:rsidR="00000000" w:rsidDel="00000000" w:rsidP="00000000" w:rsidRDefault="00000000" w:rsidRPr="00000000" w14:paraId="000001B8">
      <w:pPr>
        <w:shd w:fill="ffffff" w:val="clear"/>
        <w:spacing w:after="240" w:before="240" w:line="240" w:lineRule="auto"/>
        <w:ind w:firstLine="851"/>
        <w:jc w:val="both"/>
        <w:rPr>
          <w:rFonts w:ascii="Verdana" w:cs="Verdana" w:eastAsia="Verdana" w:hAnsi="Verdana"/>
          <w:color w:val="202124"/>
          <w:sz w:val="24"/>
          <w:szCs w:val="24"/>
        </w:rPr>
      </w:pPr>
      <w:r w:rsidDel="00000000" w:rsidR="00000000" w:rsidRPr="00000000">
        <w:rPr>
          <w:rtl w:val="0"/>
        </w:rPr>
      </w:r>
    </w:p>
    <w:p w:rsidR="00000000" w:rsidDel="00000000" w:rsidP="00000000" w:rsidRDefault="00000000" w:rsidRPr="00000000" w14:paraId="000001B9">
      <w:pPr>
        <w:shd w:fill="ffffff" w:val="clear"/>
        <w:spacing w:after="240" w:before="240" w:line="240" w:lineRule="auto"/>
        <w:ind w:firstLine="851"/>
        <w:jc w:val="both"/>
        <w:rPr>
          <w:rFonts w:ascii="Verdana" w:cs="Verdana" w:eastAsia="Verdana" w:hAnsi="Verdana"/>
          <w:color w:val="202124"/>
          <w:sz w:val="20"/>
          <w:szCs w:val="20"/>
        </w:rPr>
      </w:pPr>
      <w:r w:rsidDel="00000000" w:rsidR="00000000" w:rsidRPr="00000000">
        <w:rPr>
          <w:rtl w:val="0"/>
        </w:rPr>
      </w:r>
    </w:p>
    <w:p w:rsidR="00000000" w:rsidDel="00000000" w:rsidP="00000000" w:rsidRDefault="00000000" w:rsidRPr="00000000" w14:paraId="000001BA">
      <w:pPr>
        <w:shd w:fill="ffffff" w:val="clear"/>
        <w:spacing w:after="240" w:before="240" w:line="240" w:lineRule="auto"/>
        <w:ind w:firstLine="851"/>
        <w:jc w:val="both"/>
        <w:rPr>
          <w:rFonts w:ascii="Verdana" w:cs="Verdana" w:eastAsia="Verdana" w:hAnsi="Verdana"/>
          <w:color w:val="202124"/>
          <w:sz w:val="20"/>
          <w:szCs w:val="20"/>
        </w:rPr>
      </w:pPr>
      <w:r w:rsidDel="00000000" w:rsidR="00000000" w:rsidRPr="00000000">
        <w:rPr>
          <w:rtl w:val="0"/>
        </w:rPr>
      </w:r>
    </w:p>
    <w:p w:rsidR="00000000" w:rsidDel="00000000" w:rsidP="00000000" w:rsidRDefault="00000000" w:rsidRPr="00000000" w14:paraId="000001BB">
      <w:pPr>
        <w:shd w:fill="ffffff" w:val="clear"/>
        <w:spacing w:after="240" w:before="240" w:line="240" w:lineRule="auto"/>
        <w:ind w:firstLine="851"/>
        <w:jc w:val="both"/>
        <w:rPr>
          <w:rFonts w:ascii="Verdana" w:cs="Verdana" w:eastAsia="Verdana" w:hAnsi="Verdana"/>
          <w:color w:val="202124"/>
          <w:sz w:val="20"/>
          <w:szCs w:val="20"/>
        </w:rPr>
      </w:pPr>
      <w:r w:rsidDel="00000000" w:rsidR="00000000" w:rsidRPr="00000000">
        <w:rPr>
          <w:rtl w:val="0"/>
        </w:rPr>
      </w:r>
    </w:p>
    <w:p w:rsidR="00000000" w:rsidDel="00000000" w:rsidP="00000000" w:rsidRDefault="00000000" w:rsidRPr="00000000" w14:paraId="000001BC">
      <w:pPr>
        <w:shd w:fill="ffffff" w:val="clear"/>
        <w:spacing w:after="240" w:before="240" w:line="240" w:lineRule="auto"/>
        <w:ind w:firstLine="851"/>
        <w:jc w:val="both"/>
        <w:rPr>
          <w:rFonts w:ascii="Verdana" w:cs="Verdana" w:eastAsia="Verdana" w:hAnsi="Verdana"/>
          <w:color w:val="202124"/>
          <w:sz w:val="20"/>
          <w:szCs w:val="20"/>
        </w:rPr>
      </w:pPr>
      <w:r w:rsidDel="00000000" w:rsidR="00000000" w:rsidRPr="00000000">
        <w:rPr>
          <w:rtl w:val="0"/>
        </w:rPr>
      </w:r>
    </w:p>
    <w:p w:rsidR="00000000" w:rsidDel="00000000" w:rsidP="00000000" w:rsidRDefault="00000000" w:rsidRPr="00000000" w14:paraId="000001BD">
      <w:pPr>
        <w:shd w:fill="ffffff" w:val="clear"/>
        <w:spacing w:after="240" w:before="240" w:line="240" w:lineRule="auto"/>
        <w:ind w:firstLine="851"/>
        <w:jc w:val="both"/>
        <w:rPr>
          <w:rFonts w:ascii="Verdana" w:cs="Verdana" w:eastAsia="Verdana" w:hAnsi="Verdana"/>
          <w:color w:val="202124"/>
          <w:sz w:val="20"/>
          <w:szCs w:val="20"/>
        </w:rPr>
      </w:pPr>
      <w:r w:rsidDel="00000000" w:rsidR="00000000" w:rsidRPr="00000000">
        <w:rPr>
          <w:rtl w:val="0"/>
        </w:rPr>
      </w:r>
    </w:p>
    <w:p w:rsidR="00000000" w:rsidDel="00000000" w:rsidP="00000000" w:rsidRDefault="00000000" w:rsidRPr="00000000" w14:paraId="000001BE">
      <w:pPr>
        <w:shd w:fill="ffffff" w:val="clear"/>
        <w:spacing w:after="240" w:before="240" w:line="240" w:lineRule="auto"/>
        <w:ind w:firstLine="851"/>
        <w:jc w:val="both"/>
        <w:rPr>
          <w:rFonts w:ascii="Verdana" w:cs="Verdana" w:eastAsia="Verdana" w:hAnsi="Verdana"/>
          <w:color w:val="202124"/>
          <w:sz w:val="20"/>
          <w:szCs w:val="20"/>
        </w:rPr>
      </w:pPr>
      <w:r w:rsidDel="00000000" w:rsidR="00000000" w:rsidRPr="00000000">
        <w:rPr>
          <w:rtl w:val="0"/>
        </w:rPr>
      </w:r>
    </w:p>
    <w:p w:rsidR="00000000" w:rsidDel="00000000" w:rsidP="00000000" w:rsidRDefault="00000000" w:rsidRPr="00000000" w14:paraId="000001BF">
      <w:pPr>
        <w:shd w:fill="ffffff" w:val="clear"/>
        <w:spacing w:after="0" w:before="240" w:line="360" w:lineRule="auto"/>
        <w:jc w:val="both"/>
        <w:rPr>
          <w:rFonts w:ascii="Verdana" w:cs="Verdana" w:eastAsia="Verdana" w:hAnsi="Verdana"/>
          <w:b w:val="1"/>
          <w:color w:val="202124"/>
          <w:sz w:val="24"/>
          <w:szCs w:val="24"/>
          <w:highlight w:val="white"/>
        </w:rPr>
      </w:pPr>
      <w:r w:rsidDel="00000000" w:rsidR="00000000" w:rsidRPr="00000000">
        <w:rPr>
          <w:rtl w:val="0"/>
        </w:rPr>
      </w:r>
    </w:p>
    <w:p w:rsidR="00000000" w:rsidDel="00000000" w:rsidP="00000000" w:rsidRDefault="00000000" w:rsidRPr="00000000" w14:paraId="000001C0">
      <w:pPr>
        <w:shd w:fill="ffffff" w:val="clear"/>
        <w:spacing w:after="0" w:before="240" w:line="360" w:lineRule="auto"/>
        <w:ind w:firstLine="851"/>
        <w:jc w:val="both"/>
        <w:rPr>
          <w:rFonts w:ascii="Verdana" w:cs="Verdana" w:eastAsia="Verdana" w:hAnsi="Verdana"/>
          <w:b w:val="1"/>
          <w:color w:val="202124"/>
          <w:sz w:val="24"/>
          <w:szCs w:val="24"/>
          <w:highlight w:val="white"/>
        </w:rPr>
      </w:pPr>
      <w:r w:rsidDel="00000000" w:rsidR="00000000" w:rsidRPr="00000000">
        <w:rPr>
          <w:rtl w:val="0"/>
        </w:rPr>
      </w:r>
    </w:p>
    <w:p w:rsidR="00000000" w:rsidDel="00000000" w:rsidP="00000000" w:rsidRDefault="00000000" w:rsidRPr="00000000" w14:paraId="000001C1">
      <w:pPr>
        <w:shd w:fill="ffffff" w:val="clear"/>
        <w:spacing w:after="0" w:before="240" w:line="360" w:lineRule="auto"/>
        <w:ind w:firstLine="851"/>
        <w:jc w:val="both"/>
        <w:rPr>
          <w:rFonts w:ascii="Verdana" w:cs="Verdana" w:eastAsia="Verdana" w:hAnsi="Verdana"/>
          <w:b w:val="1"/>
          <w:color w:val="202124"/>
          <w:sz w:val="24"/>
          <w:szCs w:val="24"/>
          <w:highlight w:val="white"/>
        </w:rPr>
      </w:pPr>
      <w:r w:rsidDel="00000000" w:rsidR="00000000" w:rsidRPr="00000000">
        <w:rPr>
          <w:rtl w:val="0"/>
        </w:rPr>
      </w:r>
    </w:p>
    <w:p w:rsidR="00000000" w:rsidDel="00000000" w:rsidP="00000000" w:rsidRDefault="00000000" w:rsidRPr="00000000" w14:paraId="000001C2">
      <w:pPr>
        <w:shd w:fill="ffffff" w:val="clear"/>
        <w:spacing w:after="0" w:before="240" w:line="360" w:lineRule="auto"/>
        <w:ind w:firstLine="851"/>
        <w:jc w:val="both"/>
        <w:rPr>
          <w:rFonts w:ascii="Verdana" w:cs="Verdana" w:eastAsia="Verdana" w:hAnsi="Verdana"/>
          <w:b w:val="1"/>
          <w:color w:val="202124"/>
          <w:sz w:val="24"/>
          <w:szCs w:val="24"/>
          <w:highlight w:val="white"/>
        </w:rPr>
      </w:pPr>
      <w:r w:rsidDel="00000000" w:rsidR="00000000" w:rsidRPr="00000000">
        <w:rPr>
          <w:rtl w:val="0"/>
        </w:rPr>
      </w:r>
    </w:p>
    <w:p w:rsidR="00000000" w:rsidDel="00000000" w:rsidP="00000000" w:rsidRDefault="00000000" w:rsidRPr="00000000" w14:paraId="000001C3">
      <w:pPr>
        <w:shd w:fill="ffffff" w:val="clear"/>
        <w:spacing w:after="0" w:before="240" w:line="360" w:lineRule="auto"/>
        <w:ind w:firstLine="851"/>
        <w:jc w:val="both"/>
        <w:rPr>
          <w:rFonts w:ascii="Verdana" w:cs="Verdana" w:eastAsia="Verdana" w:hAnsi="Verdana"/>
          <w:b w:val="1"/>
          <w:color w:val="202124"/>
          <w:sz w:val="24"/>
          <w:szCs w:val="24"/>
          <w:highlight w:val="white"/>
        </w:rPr>
      </w:pPr>
      <w:r w:rsidDel="00000000" w:rsidR="00000000" w:rsidRPr="00000000">
        <w:rPr>
          <w:rtl w:val="0"/>
        </w:rPr>
      </w:r>
    </w:p>
    <w:p w:rsidR="00000000" w:rsidDel="00000000" w:rsidP="00000000" w:rsidRDefault="00000000" w:rsidRPr="00000000" w14:paraId="000001C4">
      <w:pPr>
        <w:shd w:fill="ffffff" w:val="clear"/>
        <w:spacing w:after="0" w:before="240" w:line="360" w:lineRule="auto"/>
        <w:ind w:firstLine="851"/>
        <w:jc w:val="both"/>
        <w:rPr>
          <w:rFonts w:ascii="Verdana" w:cs="Verdana" w:eastAsia="Verdana" w:hAnsi="Verdana"/>
          <w:b w:val="1"/>
          <w:sz w:val="24"/>
          <w:szCs w:val="24"/>
        </w:rPr>
      </w:pPr>
      <w:r w:rsidDel="00000000" w:rsidR="00000000" w:rsidRPr="00000000">
        <w:rPr>
          <w:rFonts w:ascii="Verdana" w:cs="Verdana" w:eastAsia="Verdana" w:hAnsi="Verdana"/>
          <w:b w:val="1"/>
          <w:color w:val="202124"/>
          <w:sz w:val="24"/>
          <w:szCs w:val="24"/>
          <w:highlight w:val="white"/>
          <w:rtl w:val="0"/>
        </w:rPr>
        <w:t xml:space="preserve">REFERÊNCIAS BIBLIOGRÁFICAS</w:t>
      </w:r>
      <w:r w:rsidDel="00000000" w:rsidR="00000000" w:rsidRPr="00000000">
        <w:rPr>
          <w:rFonts w:ascii="Verdana" w:cs="Verdana" w:eastAsia="Verdana" w:hAnsi="Verdana"/>
          <w:b w:val="1"/>
          <w:sz w:val="24"/>
          <w:szCs w:val="24"/>
          <w:rtl w:val="0"/>
        </w:rPr>
        <w:t xml:space="preserve">:</w:t>
      </w:r>
    </w:p>
    <w:p w:rsidR="00000000" w:rsidDel="00000000" w:rsidP="00000000" w:rsidRDefault="00000000" w:rsidRPr="00000000" w14:paraId="000001C5">
      <w:pPr>
        <w:spacing w:after="200" w:line="360" w:lineRule="auto"/>
        <w:ind w:right="1100" w:firstLine="851"/>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C6">
      <w:pPr>
        <w:spacing w:after="200"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AVENA, Norberto. </w:t>
      </w:r>
      <w:r w:rsidDel="00000000" w:rsidR="00000000" w:rsidRPr="00000000">
        <w:rPr>
          <w:rFonts w:ascii="Verdana" w:cs="Verdana" w:eastAsia="Verdana" w:hAnsi="Verdana"/>
          <w:b w:val="1"/>
          <w:sz w:val="24"/>
          <w:szCs w:val="24"/>
          <w:rtl w:val="0"/>
        </w:rPr>
        <w:t xml:space="preserve">Processo Penal. </w:t>
      </w:r>
      <w:r w:rsidDel="00000000" w:rsidR="00000000" w:rsidRPr="00000000">
        <w:rPr>
          <w:rFonts w:ascii="Verdana" w:cs="Verdana" w:eastAsia="Verdana" w:hAnsi="Verdana"/>
          <w:sz w:val="24"/>
          <w:szCs w:val="24"/>
          <w:rtl w:val="0"/>
        </w:rPr>
        <w:t xml:space="preserve">[Digite o Local da Editora]: Grupo GEN, 2021. E-book. ISBN 9788530992767. Disponível em: https://integrada.minhabiblioteca.com.br/#/books/9788530992767/. Acesso em: 26 out. 2022.</w:t>
      </w:r>
    </w:p>
    <w:p w:rsidR="00000000" w:rsidDel="00000000" w:rsidP="00000000" w:rsidRDefault="00000000" w:rsidRPr="00000000" w14:paraId="000001C7">
      <w:pPr>
        <w:spacing w:after="0" w:line="240" w:lineRule="auto"/>
        <w:jc w:val="both"/>
        <w:rPr>
          <w:rFonts w:ascii="Verdana" w:cs="Verdana" w:eastAsia="Verdana" w:hAnsi="Verdana"/>
          <w:sz w:val="24"/>
          <w:szCs w:val="24"/>
        </w:rPr>
      </w:pPr>
      <w:r w:rsidDel="00000000" w:rsidR="00000000" w:rsidRPr="00000000">
        <w:rPr>
          <w:rFonts w:ascii="Verdana" w:cs="Verdana" w:eastAsia="Verdana" w:hAnsi="Verdana"/>
          <w:color w:val="1c1c1c"/>
          <w:sz w:val="24"/>
          <w:szCs w:val="24"/>
          <w:highlight w:val="white"/>
          <w:rtl w:val="0"/>
        </w:rPr>
        <w:t xml:space="preserve">CAPEZ, Fernando. </w:t>
      </w:r>
      <w:r w:rsidDel="00000000" w:rsidR="00000000" w:rsidRPr="00000000">
        <w:rPr>
          <w:rFonts w:ascii="Verdana" w:cs="Verdana" w:eastAsia="Verdana" w:hAnsi="Verdana"/>
          <w:b w:val="1"/>
          <w:color w:val="1c1c1c"/>
          <w:sz w:val="24"/>
          <w:szCs w:val="24"/>
          <w:highlight w:val="white"/>
          <w:rtl w:val="0"/>
        </w:rPr>
        <w:t xml:space="preserve">Curso de direito penal v 4-legislação penal especial</w:t>
      </w:r>
      <w:r w:rsidDel="00000000" w:rsidR="00000000" w:rsidRPr="00000000">
        <w:rPr>
          <w:rFonts w:ascii="Verdana" w:cs="Verdana" w:eastAsia="Verdana" w:hAnsi="Verdana"/>
          <w:color w:val="1c1c1c"/>
          <w:sz w:val="24"/>
          <w:szCs w:val="24"/>
          <w:highlight w:val="white"/>
          <w:rtl w:val="0"/>
        </w:rPr>
        <w:t xml:space="preserve">. Editora Saraiva, 2020. E-book. ISBN 9788553619245. Disponível em: https://integrada.minhabiblioteca.com.br/#/books/9788553619245/. Acesso em: 03 nov. 2022. p. 297.</w:t>
      </w:r>
      <w:r w:rsidDel="00000000" w:rsidR="00000000" w:rsidRPr="00000000">
        <w:rPr>
          <w:rtl w:val="0"/>
        </w:rPr>
      </w:r>
    </w:p>
    <w:p w:rsidR="00000000" w:rsidDel="00000000" w:rsidP="00000000" w:rsidRDefault="00000000" w:rsidRPr="00000000" w14:paraId="000001C8">
      <w:pPr>
        <w:spacing w:after="200" w:line="240" w:lineRule="auto"/>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C9">
      <w:pPr>
        <w:spacing w:after="200" w:line="24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DA GOUVÊA, José Roberto F.; BONNDIOLI, Luís Guilherme A.; FONSECA, João Francisco Naves. </w:t>
      </w:r>
      <w:r w:rsidDel="00000000" w:rsidR="00000000" w:rsidRPr="00000000">
        <w:rPr>
          <w:rFonts w:ascii="Verdana" w:cs="Verdana" w:eastAsia="Verdana" w:hAnsi="Verdana"/>
          <w:b w:val="1"/>
          <w:sz w:val="24"/>
          <w:szCs w:val="24"/>
          <w:rtl w:val="0"/>
        </w:rPr>
        <w:t xml:space="preserve">Comentários ao CPC</w:t>
      </w:r>
      <w:r w:rsidDel="00000000" w:rsidR="00000000" w:rsidRPr="00000000">
        <w:rPr>
          <w:rFonts w:ascii="Verdana" w:cs="Verdana" w:eastAsia="Verdana" w:hAnsi="Verdana"/>
          <w:sz w:val="24"/>
          <w:szCs w:val="24"/>
          <w:rtl w:val="0"/>
        </w:rPr>
        <w:t xml:space="preserve">, v. XX, 2ª edição. [Digite o Local da Editora]: Editora Saraiva, 2017. E-book. ISBN 9788547219086. Disponível em: https://integrada.minhabiblioteca.com.br/#/books/9788547219086/. Acesso em: 01 nov. 2022.</w:t>
      </w:r>
    </w:p>
    <w:p w:rsidR="00000000" w:rsidDel="00000000" w:rsidP="00000000" w:rsidRDefault="00000000" w:rsidRPr="00000000" w14:paraId="000001CA">
      <w:pPr>
        <w:spacing w:after="0" w:line="240" w:lineRule="auto"/>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rtl w:val="0"/>
        </w:rPr>
        <w:t xml:space="preserve">GONÇALVES, Victor Eduardo R.; LENZA, Pedro. Esquematizado - </w:t>
      </w:r>
      <w:r w:rsidDel="00000000" w:rsidR="00000000" w:rsidRPr="00000000">
        <w:rPr>
          <w:rFonts w:ascii="Verdana" w:cs="Verdana" w:eastAsia="Verdana" w:hAnsi="Verdana"/>
          <w:b w:val="1"/>
          <w:color w:val="000000"/>
          <w:sz w:val="24"/>
          <w:szCs w:val="24"/>
          <w:rtl w:val="0"/>
        </w:rPr>
        <w:t xml:space="preserve">Direito Penal</w:t>
      </w:r>
      <w:r w:rsidDel="00000000" w:rsidR="00000000" w:rsidRPr="00000000">
        <w:rPr>
          <w:rFonts w:ascii="Verdana" w:cs="Verdana" w:eastAsia="Verdana" w:hAnsi="Verdana"/>
          <w:color w:val="000000"/>
          <w:sz w:val="24"/>
          <w:szCs w:val="24"/>
          <w:rtl w:val="0"/>
        </w:rPr>
        <w:t xml:space="preserve"> - Parte Especial.: Editora Saraiva, 2022. E-book. ISBN 9786555597738. Disponível em: https://integrada.minhabiblioteca.com.br/#/books/9786555597738/. Acesso em: 01 nov. 2022. p. 657.</w:t>
      </w:r>
      <w:r w:rsidDel="00000000" w:rsidR="00000000" w:rsidRPr="00000000">
        <w:rPr>
          <w:rtl w:val="0"/>
        </w:rPr>
      </w:r>
    </w:p>
    <w:p w:rsidR="00000000" w:rsidDel="00000000" w:rsidP="00000000" w:rsidRDefault="00000000" w:rsidRPr="00000000" w14:paraId="000001CB">
      <w:pPr>
        <w:spacing w:after="200" w:before="240"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GOV. COM. </w:t>
      </w:r>
      <w:r w:rsidDel="00000000" w:rsidR="00000000" w:rsidRPr="00000000">
        <w:rPr>
          <w:rFonts w:ascii="Verdana" w:cs="Verdana" w:eastAsia="Verdana" w:hAnsi="Verdana"/>
          <w:b w:val="1"/>
          <w:sz w:val="24"/>
          <w:szCs w:val="24"/>
          <w:rtl w:val="0"/>
        </w:rPr>
        <w:t xml:space="preserve">Constituição da República Federativa do Brasil de 1988.</w:t>
      </w:r>
      <w:r w:rsidDel="00000000" w:rsidR="00000000" w:rsidRPr="00000000">
        <w:rPr>
          <w:rFonts w:ascii="Verdana" w:cs="Verdana" w:eastAsia="Verdana" w:hAnsi="Verdana"/>
          <w:sz w:val="24"/>
          <w:szCs w:val="24"/>
          <w:rtl w:val="0"/>
        </w:rPr>
        <w:t xml:space="preserve"> Disponível em: planalto.gov.br. Acesso em: 26 out. 2022</w:t>
      </w:r>
    </w:p>
    <w:p w:rsidR="00000000" w:rsidDel="00000000" w:rsidP="00000000" w:rsidRDefault="00000000" w:rsidRPr="00000000" w14:paraId="000001CC">
      <w:pPr>
        <w:spacing w:after="200" w:before="240"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GOV.COM. </w:t>
      </w:r>
      <w:r w:rsidDel="00000000" w:rsidR="00000000" w:rsidRPr="00000000">
        <w:rPr>
          <w:rFonts w:ascii="Verdana" w:cs="Verdana" w:eastAsia="Verdana" w:hAnsi="Verdana"/>
          <w:b w:val="1"/>
          <w:sz w:val="24"/>
          <w:szCs w:val="24"/>
          <w:rtl w:val="0"/>
        </w:rPr>
        <w:t xml:space="preserve">Lei nº 8.906</w:t>
      </w:r>
      <w:r w:rsidDel="00000000" w:rsidR="00000000" w:rsidRPr="00000000">
        <w:rPr>
          <w:rFonts w:ascii="Verdana" w:cs="Verdana" w:eastAsia="Verdana" w:hAnsi="Verdana"/>
          <w:sz w:val="24"/>
          <w:szCs w:val="24"/>
          <w:rtl w:val="0"/>
        </w:rPr>
        <w:t xml:space="preserve">. Disponível em: planalto.gov.br. Acesso em: 26 out. 2022</w:t>
      </w:r>
    </w:p>
    <w:p w:rsidR="00000000" w:rsidDel="00000000" w:rsidP="00000000" w:rsidRDefault="00000000" w:rsidRPr="00000000" w14:paraId="000001CD">
      <w:pPr>
        <w:spacing w:after="200"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GOV.COM. </w:t>
      </w:r>
      <w:r w:rsidDel="00000000" w:rsidR="00000000" w:rsidRPr="00000000">
        <w:rPr>
          <w:rFonts w:ascii="Verdana" w:cs="Verdana" w:eastAsia="Verdana" w:hAnsi="Verdana"/>
          <w:b w:val="1"/>
          <w:sz w:val="24"/>
          <w:szCs w:val="24"/>
          <w:rtl w:val="0"/>
        </w:rPr>
        <w:t xml:space="preserve">Lei nº 3.689</w:t>
      </w:r>
      <w:r w:rsidDel="00000000" w:rsidR="00000000" w:rsidRPr="00000000">
        <w:rPr>
          <w:rFonts w:ascii="Verdana" w:cs="Verdana" w:eastAsia="Verdana" w:hAnsi="Verdana"/>
          <w:sz w:val="24"/>
          <w:szCs w:val="24"/>
          <w:rtl w:val="0"/>
        </w:rPr>
        <w:t xml:space="preserve">. Disponível em: planalto.gov.br. Acesso em 26 out. 2022</w:t>
      </w:r>
    </w:p>
    <w:p w:rsidR="00000000" w:rsidDel="00000000" w:rsidP="00000000" w:rsidRDefault="00000000" w:rsidRPr="00000000" w14:paraId="000001CE">
      <w:pPr>
        <w:spacing w:after="200"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GOV.COM. </w:t>
      </w:r>
      <w:r w:rsidDel="00000000" w:rsidR="00000000" w:rsidRPr="00000000">
        <w:rPr>
          <w:rFonts w:ascii="Verdana" w:cs="Verdana" w:eastAsia="Verdana" w:hAnsi="Verdana"/>
          <w:b w:val="1"/>
          <w:sz w:val="24"/>
          <w:szCs w:val="24"/>
          <w:rtl w:val="0"/>
        </w:rPr>
        <w:t xml:space="preserve">Lei nº12.830</w:t>
      </w:r>
      <w:r w:rsidDel="00000000" w:rsidR="00000000" w:rsidRPr="00000000">
        <w:rPr>
          <w:rFonts w:ascii="Verdana" w:cs="Verdana" w:eastAsia="Verdana" w:hAnsi="Verdana"/>
          <w:sz w:val="24"/>
          <w:szCs w:val="24"/>
          <w:rtl w:val="0"/>
        </w:rPr>
        <w:t xml:space="preserve">. Disponível em: planalto.gov.br. Acesso em 26 out. 2022</w:t>
      </w:r>
    </w:p>
    <w:p w:rsidR="00000000" w:rsidDel="00000000" w:rsidP="00000000" w:rsidRDefault="00000000" w:rsidRPr="00000000" w14:paraId="000001CF">
      <w:pPr>
        <w:spacing w:after="200"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GOV.COM. </w:t>
      </w:r>
      <w:r w:rsidDel="00000000" w:rsidR="00000000" w:rsidRPr="00000000">
        <w:rPr>
          <w:rFonts w:ascii="Verdana" w:cs="Verdana" w:eastAsia="Verdana" w:hAnsi="Verdana"/>
          <w:b w:val="1"/>
          <w:sz w:val="24"/>
          <w:szCs w:val="24"/>
          <w:rtl w:val="0"/>
        </w:rPr>
        <w:t xml:space="preserve">Lei nº13.105</w:t>
      </w:r>
      <w:r w:rsidDel="00000000" w:rsidR="00000000" w:rsidRPr="00000000">
        <w:rPr>
          <w:rFonts w:ascii="Verdana" w:cs="Verdana" w:eastAsia="Verdana" w:hAnsi="Verdana"/>
          <w:sz w:val="24"/>
          <w:szCs w:val="24"/>
          <w:rtl w:val="0"/>
        </w:rPr>
        <w:t xml:space="preserve">. Disponível em: planalto.gov.br. Acesso em 01 nov. 2022.</w:t>
      </w:r>
    </w:p>
    <w:p w:rsidR="00000000" w:rsidDel="00000000" w:rsidP="00000000" w:rsidRDefault="00000000" w:rsidRPr="00000000" w14:paraId="000001D0">
      <w:pPr>
        <w:spacing w:after="0" w:line="240" w:lineRule="auto"/>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rtl w:val="0"/>
        </w:rPr>
        <w:t xml:space="preserve">JUNQUEIRA, Gustavo Octaviano D.; FIGUEIREDO, Maria Patricia V. </w:t>
      </w:r>
      <w:r w:rsidDel="00000000" w:rsidR="00000000" w:rsidRPr="00000000">
        <w:rPr>
          <w:rFonts w:ascii="Verdana" w:cs="Verdana" w:eastAsia="Verdana" w:hAnsi="Verdana"/>
          <w:b w:val="1"/>
          <w:color w:val="000000"/>
          <w:sz w:val="24"/>
          <w:szCs w:val="24"/>
          <w:rtl w:val="0"/>
        </w:rPr>
        <w:t xml:space="preserve">Manual de Direito Penal.</w:t>
      </w:r>
      <w:r w:rsidDel="00000000" w:rsidR="00000000" w:rsidRPr="00000000">
        <w:rPr>
          <w:rFonts w:ascii="Verdana" w:cs="Verdana" w:eastAsia="Verdana" w:hAnsi="Verdana"/>
          <w:color w:val="000000"/>
          <w:sz w:val="24"/>
          <w:szCs w:val="24"/>
          <w:rtl w:val="0"/>
        </w:rPr>
        <w:t xml:space="preserve"> Editora Saraiva, 2021. E-book. ISBN 9786555595734. Disponível em: https://integrada.minhabiblioteca.com.br/#/books/9786555595734/. Acesso em: 03 nov. 2022. p. 262.</w:t>
      </w:r>
      <w:r w:rsidDel="00000000" w:rsidR="00000000" w:rsidRPr="00000000">
        <w:rPr>
          <w:rtl w:val="0"/>
        </w:rPr>
      </w:r>
    </w:p>
    <w:p w:rsidR="00000000" w:rsidDel="00000000" w:rsidP="00000000" w:rsidRDefault="00000000" w:rsidRPr="00000000" w14:paraId="000001D1">
      <w:pPr>
        <w:spacing w:after="200" w:line="360" w:lineRule="auto"/>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D2">
      <w:pPr>
        <w:spacing w:after="200"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MAENO, Márcia. Professora Especialista UNIFEOB Centro Universitário Octávio Bastos.</w:t>
      </w:r>
    </w:p>
    <w:p w:rsidR="00000000" w:rsidDel="00000000" w:rsidP="00000000" w:rsidRDefault="00000000" w:rsidRPr="00000000" w14:paraId="000001D3">
      <w:pPr>
        <w:spacing w:after="200" w:before="240"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NICOLA, Fabricio. Mestre em Direito. Especialista em Direito Processual. Especialista em Gestão Estratégia de Negócios. Professor da UNIFEOB Centro Universitário Octávio Bastos. Advogado.</w:t>
      </w:r>
    </w:p>
    <w:p w:rsidR="00000000" w:rsidDel="00000000" w:rsidP="00000000" w:rsidRDefault="00000000" w:rsidRPr="00000000" w14:paraId="000001D4">
      <w:pPr>
        <w:spacing w:after="0" w:line="240" w:lineRule="auto"/>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rtl w:val="0"/>
        </w:rPr>
        <w:t xml:space="preserve">NUCCI, Guilherme de S. </w:t>
      </w:r>
      <w:r w:rsidDel="00000000" w:rsidR="00000000" w:rsidRPr="00000000">
        <w:rPr>
          <w:rFonts w:ascii="Verdana" w:cs="Verdana" w:eastAsia="Verdana" w:hAnsi="Verdana"/>
          <w:b w:val="1"/>
          <w:color w:val="000000"/>
          <w:sz w:val="24"/>
          <w:szCs w:val="24"/>
          <w:rtl w:val="0"/>
        </w:rPr>
        <w:t xml:space="preserve">Manual de Direito Penal.</w:t>
      </w:r>
      <w:r w:rsidDel="00000000" w:rsidR="00000000" w:rsidRPr="00000000">
        <w:rPr>
          <w:rFonts w:ascii="Verdana" w:cs="Verdana" w:eastAsia="Verdana" w:hAnsi="Verdana"/>
          <w:color w:val="000000"/>
          <w:sz w:val="24"/>
          <w:szCs w:val="24"/>
          <w:rtl w:val="0"/>
        </w:rPr>
        <w:t xml:space="preserve"> Grupo GEN, 2022. E-book. ISBN 9786559642830. Disponível em: https://integrada.minhabiblioteca.com.br/#/books/9786559642830/. Acesso em: 03 nov. 2022. p 317 e 318.</w:t>
      </w:r>
      <w:r w:rsidDel="00000000" w:rsidR="00000000" w:rsidRPr="00000000">
        <w:rPr>
          <w:rtl w:val="0"/>
        </w:rPr>
      </w:r>
    </w:p>
    <w:p w:rsidR="00000000" w:rsidDel="00000000" w:rsidP="00000000" w:rsidRDefault="00000000" w:rsidRPr="00000000" w14:paraId="000001D5">
      <w:pPr>
        <w:spacing w:after="200" w:line="360" w:lineRule="auto"/>
        <w:jc w:val="both"/>
        <w:rPr>
          <w:rFonts w:ascii="Verdana" w:cs="Verdana" w:eastAsia="Verdana" w:hAnsi="Verdana"/>
          <w:sz w:val="24"/>
          <w:szCs w:val="24"/>
        </w:rPr>
      </w:pPr>
      <w:r w:rsidDel="00000000" w:rsidR="00000000" w:rsidRPr="00000000">
        <w:rPr>
          <w:rtl w:val="0"/>
        </w:rPr>
      </w:r>
    </w:p>
    <w:sectPr>
      <w:headerReference r:id="rId23" w:type="default"/>
      <w:footerReference r:id="rId24" w:type="default"/>
      <w:footerReference r:id="rId25" w:type="first"/>
      <w:type w:val="nextPage"/>
      <w:pgSz w:h="16838" w:w="11906" w:orient="portrait"/>
      <w:pgMar w:bottom="283" w:top="1133" w:left="1440" w:right="1440" w:header="426" w:footer="306"/>
      <w:titlePg w:val="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Fabricio Silva Nicola" w:id="6" w:date="2022-11-21T17:37:17Z">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Essa frase devia estra noutra linha. Está confuso seu entendimento.</w:t>
      </w:r>
    </w:p>
  </w:comment>
  <w:comment w:author="Fabricio Silva Nicola" w:id="2" w:date="2022-11-21T17:35:03Z">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Ok</w:t>
      </w:r>
    </w:p>
  </w:comment>
  <w:comment w:author="Juliana Marques Borsari" w:id="9" w:date="2022-11-13T20:40:43Z">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Cuidado com a formatação!</w:t>
      </w:r>
    </w:p>
  </w:comment>
  <w:comment w:author="William Cardozo Silva" w:id="12" w:date="2022-11-22T00:07:56Z">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 fundamentação está correta. Contudo creio que houve uma confusão do grupo quanto aos honorários contratuais e sucumbenciais. O caso não trazia nada a respeito deste último. Senti falta de qual a medida que os pareceristas sugeriam à consulente. Nota: 1,5</w:t>
      </w:r>
    </w:p>
  </w:comment>
  <w:comment w:author="MARCIA C MAENO DE CAMPOS" w:id="11" w:date="2022-11-16T16:00:47Z">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Argumentação excelente, parabéns! Só senti falta de desenvolver mais após as citações e jurisprudência.</w:t>
      </w:r>
    </w:p>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2,0</w:t>
      </w:r>
    </w:p>
  </w:comment>
  <w:comment w:author="Fabricio Silva Nicola" w:id="3" w:date="2022-11-21T17:35:22Z">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Frase confusa!</w:t>
      </w:r>
    </w:p>
  </w:comment>
  <w:comment w:author="Fabricio Silva Nicola" w:id="4" w:date="2022-11-21T17:35:38Z">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Expressão em desuso...</w:t>
      </w:r>
    </w:p>
  </w:comment>
  <w:comment w:author="Fabricio Silva Nicola" w:id="0" w:date="2022-11-21T17:41:15Z">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1,5</w:t>
      </w:r>
    </w:p>
  </w:comment>
  <w:comment w:author="Fabricio Silva Nicola" w:id="7" w:date="2022-11-21T17:38:22Z">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inquérito policial...</w:t>
      </w:r>
    </w:p>
  </w:comment>
  <w:comment w:author="Fabricio Silva Nicola" w:id="5" w:date="2022-11-21T17:36:02Z">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Garanta</w:t>
      </w:r>
    </w:p>
  </w:comment>
  <w:comment w:author="Fabricio Silva Nicola" w:id="1" w:date="2022-11-21T17:32:47Z">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 nos casos de ação penal pública?</w:t>
      </w:r>
    </w:p>
  </w:comment>
  <w:comment w:author="Juliana Marques Borsari" w:id="10" w:date="2022-11-13T20:42:06Z">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texto demonstra excelente raciocínio jurídico, lastreado por ótima argumentação e fundamentação, com demonstração de posicionamentos doutrinários e jurisprudenciais atualizados e aplicáveis ao caso concreto.</w:t>
      </w:r>
    </w:p>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Texto bem escrito, com clareza e objetividade</w:t>
      </w:r>
    </w:p>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Parabéns ao grupo de trabalho.</w:t>
      </w:r>
    </w:p>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2,0</w:t>
      </w:r>
    </w:p>
  </w:comment>
  <w:comment w:author="Fabricio Silva Nicola" w:id="8" w:date="2022-11-21T17:38:36Z">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Ok</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E4" w15:done="0"/>
  <w15:commentEx w15:paraId="000001E5" w15:done="0"/>
  <w15:commentEx w15:paraId="000001E6" w15:done="0"/>
  <w15:commentEx w15:paraId="000001E7" w15:done="0"/>
  <w15:commentEx w15:paraId="000001E9" w15:done="0"/>
  <w15:commentEx w15:paraId="000001EA" w15:done="0"/>
  <w15:commentEx w15:paraId="000001EB" w15:done="0"/>
  <w15:commentEx w15:paraId="000001EC" w15:done="0"/>
  <w15:commentEx w15:paraId="000001ED" w15:done="0"/>
  <w15:commentEx w15:paraId="000001EE" w15:done="0"/>
  <w15:commentEx w15:paraId="000001EF" w15:done="0"/>
  <w15:commentEx w15:paraId="000001F3" w15:done="0"/>
  <w15:commentEx w15:paraId="000001F4"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Verdana"/>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DC">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DD">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DE">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DF">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E0">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E1">
    <w:pPr>
      <w:tabs>
        <w:tab w:val="center" w:pos="4252"/>
        <w:tab w:val="right" w:pos="8504"/>
      </w:tabs>
      <w:spacing w:after="0" w:line="240" w:lineRule="auto"/>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PROJETO INTEGRADO – 6º Módulo</w:t>
    </w:r>
  </w:p>
  <w:p w:rsidR="00000000" w:rsidDel="00000000" w:rsidP="00000000" w:rsidRDefault="00000000" w:rsidRPr="00000000" w14:paraId="000001E2">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E3">
    <w:pPr>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D6">
    <w:pPr>
      <w:jc w:val="cente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D7">
    <w:pPr>
      <w:tabs>
        <w:tab w:val="center" w:pos="4252"/>
        <w:tab w:val="right" w:pos="8504"/>
      </w:tabs>
      <w:spacing w:after="0" w:line="240" w:lineRule="auto"/>
      <w:jc w:val="right"/>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D8">
    <w:pPr>
      <w:tabs>
        <w:tab w:val="center" w:pos="4252"/>
        <w:tab w:val="right" w:pos="8504"/>
      </w:tabs>
      <w:spacing w:after="0" w:line="240" w:lineRule="auto"/>
      <w:rPr/>
    </w:pPr>
    <w:r w:rsidDel="00000000" w:rsidR="00000000" w:rsidRPr="00000000">
      <w:rPr>
        <w:rtl w:val="0"/>
      </w:rPr>
    </w:r>
  </w:p>
  <w:tbl>
    <w:tblPr>
      <w:tblStyle w:val="Table5"/>
      <w:tblW w:w="9165.0" w:type="dxa"/>
      <w:jc w:val="left"/>
      <w:tblInd w:w="-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1D9">
          <w:pPr>
            <w:tabs>
              <w:tab w:val="center" w:pos="4252"/>
              <w:tab w:val="right" w:pos="8504"/>
            </w:tabs>
            <w:rPr/>
          </w:pPr>
          <w:r w:rsidDel="00000000" w:rsidR="00000000" w:rsidRPr="00000000">
            <w:rPr/>
            <w:drawing>
              <wp:inline distB="114300" distT="114300" distL="114300" distR="114300">
                <wp:extent cx="966788" cy="287734"/>
                <wp:effectExtent b="0" l="0" r="0" t="0"/>
                <wp:docPr id="58"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1DA">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1DB">
    <w:pPr>
      <w:tabs>
        <w:tab w:val="center" w:pos="4252"/>
        <w:tab w:val="right"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1211" w:hanging="360"/>
      </w:pPr>
      <w:rPr/>
    </w:lvl>
    <w:lvl w:ilvl="1">
      <w:start w:val="1"/>
      <w:numFmt w:val="decimal"/>
      <w:lvlText w:val="%2."/>
      <w:lvlJc w:val="left"/>
      <w:pPr>
        <w:ind w:left="1931" w:hanging="360"/>
      </w:pPr>
      <w:rPr/>
    </w:lvl>
    <w:lvl w:ilvl="2">
      <w:start w:val="1"/>
      <w:numFmt w:val="decimal"/>
      <w:lvlText w:val="%3."/>
      <w:lvlJc w:val="left"/>
      <w:pPr>
        <w:ind w:left="2651" w:hanging="360"/>
      </w:pPr>
      <w:rPr/>
    </w:lvl>
    <w:lvl w:ilvl="3">
      <w:start w:val="1"/>
      <w:numFmt w:val="decimal"/>
      <w:lvlText w:val="%4."/>
      <w:lvlJc w:val="left"/>
      <w:pPr>
        <w:ind w:left="3371" w:hanging="360"/>
      </w:pPr>
      <w:rPr/>
    </w:lvl>
    <w:lvl w:ilvl="4">
      <w:start w:val="1"/>
      <w:numFmt w:val="decimal"/>
      <w:lvlText w:val="%5."/>
      <w:lvlJc w:val="left"/>
      <w:pPr>
        <w:ind w:left="4091" w:hanging="360"/>
      </w:pPr>
      <w:rPr/>
    </w:lvl>
    <w:lvl w:ilvl="5">
      <w:start w:val="1"/>
      <w:numFmt w:val="decimal"/>
      <w:lvlText w:val="%6."/>
      <w:lvlJc w:val="left"/>
      <w:pPr>
        <w:ind w:left="4811" w:hanging="360"/>
      </w:pPr>
      <w:rPr/>
    </w:lvl>
    <w:lvl w:ilvl="6">
      <w:start w:val="1"/>
      <w:numFmt w:val="decimal"/>
      <w:lvlText w:val="%7."/>
      <w:lvlJc w:val="left"/>
      <w:pPr>
        <w:ind w:left="5531" w:hanging="360"/>
      </w:pPr>
      <w:rPr/>
    </w:lvl>
    <w:lvl w:ilvl="7">
      <w:start w:val="1"/>
      <w:numFmt w:val="decimal"/>
      <w:lvlText w:val="%8."/>
      <w:lvlJc w:val="left"/>
      <w:pPr>
        <w:ind w:left="6251" w:hanging="360"/>
      </w:pPr>
      <w:rPr/>
    </w:lvl>
    <w:lvl w:ilvl="8">
      <w:start w:val="1"/>
      <w:numFmt w:val="decimal"/>
      <w:lvlText w:val="%9."/>
      <w:lvlJc w:val="left"/>
      <w:pPr>
        <w:ind w:left="6971" w:hanging="360"/>
      </w:pPr>
      <w:rPr/>
    </w:lvl>
  </w:abstractNum>
  <w:abstractNum w:abstractNumId="2">
    <w:lvl w:ilvl="0">
      <w:start w:val="1"/>
      <w:numFmt w:val="decimal"/>
      <w:lvlText w:val="%1."/>
      <w:lvlJc w:val="left"/>
      <w:pPr>
        <w:ind w:left="1211" w:hanging="360"/>
      </w:pPr>
      <w:rPr/>
    </w:lvl>
    <w:lvl w:ilvl="1">
      <w:start w:val="1"/>
      <w:numFmt w:val="decimal"/>
      <w:lvlText w:val="%2."/>
      <w:lvlJc w:val="left"/>
      <w:pPr>
        <w:ind w:left="1931" w:hanging="360"/>
      </w:pPr>
      <w:rPr/>
    </w:lvl>
    <w:lvl w:ilvl="2">
      <w:start w:val="1"/>
      <w:numFmt w:val="decimal"/>
      <w:lvlText w:val="%3."/>
      <w:lvlJc w:val="left"/>
      <w:pPr>
        <w:ind w:left="2651" w:hanging="360"/>
      </w:pPr>
      <w:rPr/>
    </w:lvl>
    <w:lvl w:ilvl="3">
      <w:start w:val="1"/>
      <w:numFmt w:val="decimal"/>
      <w:lvlText w:val="%4."/>
      <w:lvlJc w:val="left"/>
      <w:pPr>
        <w:ind w:left="3371" w:hanging="360"/>
      </w:pPr>
      <w:rPr/>
    </w:lvl>
    <w:lvl w:ilvl="4">
      <w:start w:val="1"/>
      <w:numFmt w:val="decimal"/>
      <w:lvlText w:val="%5."/>
      <w:lvlJc w:val="left"/>
      <w:pPr>
        <w:ind w:left="4091" w:hanging="360"/>
      </w:pPr>
      <w:rPr/>
    </w:lvl>
    <w:lvl w:ilvl="5">
      <w:start w:val="1"/>
      <w:numFmt w:val="decimal"/>
      <w:lvlText w:val="%6."/>
      <w:lvlJc w:val="left"/>
      <w:pPr>
        <w:ind w:left="4811" w:hanging="360"/>
      </w:pPr>
      <w:rPr/>
    </w:lvl>
    <w:lvl w:ilvl="6">
      <w:start w:val="1"/>
      <w:numFmt w:val="decimal"/>
      <w:lvlText w:val="%7."/>
      <w:lvlJc w:val="left"/>
      <w:pPr>
        <w:ind w:left="5531" w:hanging="360"/>
      </w:pPr>
      <w:rPr/>
    </w:lvl>
    <w:lvl w:ilvl="7">
      <w:start w:val="1"/>
      <w:numFmt w:val="decimal"/>
      <w:lvlText w:val="%8."/>
      <w:lvlJc w:val="left"/>
      <w:pPr>
        <w:ind w:left="6251" w:hanging="360"/>
      </w:pPr>
      <w:rPr/>
    </w:lvl>
    <w:lvl w:ilvl="8">
      <w:start w:val="1"/>
      <w:numFmt w:val="decimal"/>
      <w:lvlText w:val="%9."/>
      <w:lvlJc w:val="left"/>
      <w:pPr>
        <w:ind w:left="6971" w:hanging="360"/>
      </w:pPr>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paragraph" w:styleId="Ttulo1">
    <w:name w:val="heading 1"/>
    <w:basedOn w:val="Normal"/>
    <w:next w:val="Normal"/>
    <w:pPr>
      <w:keepNext w:val="1"/>
      <w:keepLines w:val="1"/>
      <w:spacing w:after="120" w:before="480"/>
      <w:outlineLvl w:val="0"/>
    </w:pPr>
    <w:rPr>
      <w:b w:val="1"/>
      <w:sz w:val="48"/>
      <w:szCs w:val="48"/>
    </w:rPr>
  </w:style>
  <w:style w:type="paragraph" w:styleId="Ttulo2">
    <w:name w:val="heading 2"/>
    <w:basedOn w:val="Normal"/>
    <w:next w:val="Normal"/>
    <w:pPr>
      <w:keepNext w:val="1"/>
      <w:keepLines w:val="1"/>
      <w:spacing w:after="80" w:before="360"/>
      <w:outlineLvl w:val="1"/>
    </w:pPr>
    <w:rPr>
      <w:b w:val="1"/>
      <w:sz w:val="36"/>
      <w:szCs w:val="36"/>
    </w:rPr>
  </w:style>
  <w:style w:type="paragraph" w:styleId="Ttulo3">
    <w:name w:val="heading 3"/>
    <w:basedOn w:val="Normal"/>
    <w:next w:val="Normal"/>
    <w:pPr>
      <w:keepNext w:val="1"/>
      <w:keepLines w:val="1"/>
      <w:spacing w:after="80" w:before="280"/>
      <w:outlineLvl w:val="2"/>
    </w:pPr>
    <w:rPr>
      <w:b w:val="1"/>
      <w:sz w:val="28"/>
      <w:szCs w:val="28"/>
    </w:rPr>
  </w:style>
  <w:style w:type="paragraph" w:styleId="Ttulo4">
    <w:name w:val="heading 4"/>
    <w:basedOn w:val="Normal"/>
    <w:next w:val="Normal"/>
    <w:pPr>
      <w:keepNext w:val="1"/>
      <w:keepLines w:val="1"/>
      <w:spacing w:after="40" w:before="240"/>
      <w:outlineLvl w:val="3"/>
    </w:pPr>
    <w:rPr>
      <w:b w:val="1"/>
      <w:sz w:val="24"/>
      <w:szCs w:val="24"/>
    </w:rPr>
  </w:style>
  <w:style w:type="paragraph" w:styleId="Ttulo5">
    <w:name w:val="heading 5"/>
    <w:basedOn w:val="Normal"/>
    <w:next w:val="Normal"/>
    <w:pPr>
      <w:keepNext w:val="1"/>
      <w:keepLines w:val="1"/>
      <w:spacing w:after="40" w:before="220"/>
      <w:outlineLvl w:val="4"/>
    </w:pPr>
    <w:rPr>
      <w:b w:val="1"/>
    </w:rPr>
  </w:style>
  <w:style w:type="paragraph" w:styleId="Ttulo6">
    <w:name w:val="heading 6"/>
    <w:basedOn w:val="Normal"/>
    <w:next w:val="Normal"/>
    <w:pPr>
      <w:keepNext w:val="1"/>
      <w:keepLines w:val="1"/>
      <w:spacing w:after="40" w:before="200"/>
      <w:outlineLvl w:val="5"/>
    </w:pPr>
    <w:rPr>
      <w:b w:val="1"/>
      <w:sz w:val="20"/>
      <w:szCs w:val="20"/>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TableNormal2" w:customStyle="1">
    <w:name w:val="Table Normal"/>
    <w:tblPr>
      <w:tblCellMar>
        <w:top w:w="0.0" w:type="dxa"/>
        <w:left w:w="0.0" w:type="dxa"/>
        <w:bottom w:w="0.0" w:type="dxa"/>
        <w:right w:w="0.0" w:type="dxa"/>
      </w:tblCellMar>
    </w:tblPr>
  </w:style>
  <w:style w:type="table" w:styleId="TableNormal3" w:customStyle="1">
    <w:name w:val="Table Normal"/>
    <w:tblPr>
      <w:tblCellMar>
        <w:top w:w="0.0" w:type="dxa"/>
        <w:left w:w="0.0" w:type="dxa"/>
        <w:bottom w:w="0.0" w:type="dxa"/>
        <w:right w:w="0.0" w:type="dxa"/>
      </w:tblCellMar>
    </w:tblPr>
  </w:style>
  <w:style w:type="table" w:styleId="TableNormal4" w:customStyle="1">
    <w:name w:val="Table Normal"/>
    <w:tblPr>
      <w:tblCellMar>
        <w:top w:w="0.0" w:type="dxa"/>
        <w:left w:w="0.0" w:type="dxa"/>
        <w:bottom w:w="0.0" w:type="dxa"/>
        <w:right w:w="0.0" w:type="dxa"/>
      </w:tblCellMar>
    </w:tblPr>
  </w:style>
  <w:style w:type="table" w:styleId="TableNormal5" w:customStyle="1">
    <w:name w:val="Table Normal"/>
    <w:tblPr>
      <w:tblCellMar>
        <w:top w:w="0.0" w:type="dxa"/>
        <w:left w:w="0.0" w:type="dxa"/>
        <w:bottom w:w="0.0" w:type="dxa"/>
        <w:right w:w="0.0" w:type="dxa"/>
      </w:tblCellMar>
    </w:tblPr>
  </w:style>
  <w:style w:type="table" w:styleId="TableNormal6" w:customStyle="1">
    <w:name w:val="Table Normal"/>
    <w:tblPr>
      <w:tblCellMar>
        <w:top w:w="0.0" w:type="dxa"/>
        <w:left w:w="0.0" w:type="dxa"/>
        <w:bottom w:w="0.0" w:type="dxa"/>
        <w:right w:w="0.0" w:type="dxa"/>
      </w:tblCellMar>
    </w:tblPr>
  </w:style>
  <w:style w:type="table" w:styleId="TableNormal7" w:customStyle="1">
    <w:name w:val="Table Normal"/>
    <w:tblPr>
      <w:tblCellMar>
        <w:top w:w="0.0" w:type="dxa"/>
        <w:left w:w="0.0" w:type="dxa"/>
        <w:bottom w:w="0.0" w:type="dxa"/>
        <w:right w:w="0.0" w:type="dxa"/>
      </w:tblCellMar>
    </w:tblPr>
  </w:style>
  <w:style w:type="table" w:styleId="TableNormal8" w:customStyle="1">
    <w:name w:val="Table Normal"/>
    <w:tblPr>
      <w:tblCellMar>
        <w:top w:w="0.0" w:type="dxa"/>
        <w:left w:w="0.0" w:type="dxa"/>
        <w:bottom w:w="0.0" w:type="dxa"/>
        <w:right w:w="0.0" w:type="dxa"/>
      </w:tblCellMar>
    </w:tblPr>
  </w:style>
  <w:style w:type="table" w:styleId="TableNormal9" w:customStyle="1">
    <w:name w:val="Table Normal"/>
    <w:tblPr>
      <w:tblCellMar>
        <w:top w:w="0.0" w:type="dxa"/>
        <w:left w:w="0.0" w:type="dxa"/>
        <w:bottom w:w="0.0" w:type="dxa"/>
        <w:right w:w="0.0" w:type="dxa"/>
      </w:tblCellMar>
    </w:tblPr>
  </w:style>
  <w:style w:type="table" w:styleId="TableNormala" w:customStyle="1">
    <w:name w:val="Table Normal"/>
    <w:tblPr>
      <w:tblCellMar>
        <w:top w:w="0.0" w:type="dxa"/>
        <w:left w:w="0.0" w:type="dxa"/>
        <w:bottom w:w="0.0" w:type="dxa"/>
        <w:right w:w="0.0" w:type="dxa"/>
      </w:tblCellMar>
    </w:tblPr>
  </w:style>
  <w:style w:type="paragraph" w:styleId="Subttulo">
    <w:name w:val="Subtitle"/>
    <w:basedOn w:val="Normal"/>
    <w:next w:val="Normal"/>
    <w:pPr>
      <w:keepNext w:val="1"/>
      <w:keepLines w:val="1"/>
      <w:spacing w:after="80" w:before="360"/>
    </w:pPr>
    <w:rPr>
      <w:rFonts w:ascii="Georgia" w:cs="Georgia" w:eastAsia="Georgia" w:hAnsi="Georgia"/>
      <w:i w:val="1"/>
      <w:color w:val="666666"/>
      <w:sz w:val="48"/>
      <w:szCs w:val="48"/>
    </w:rPr>
  </w:style>
  <w:style w:type="table" w:styleId="a" w:customStyle="1">
    <w:basedOn w:val="TableNormala"/>
    <w:pPr>
      <w:spacing w:after="0" w:line="240" w:lineRule="auto"/>
    </w:pPr>
    <w:tblPr>
      <w:tblStyleRowBandSize w:val="1"/>
      <w:tblStyleColBandSize w:val="1"/>
      <w:tblCellMar>
        <w:left w:w="108.0" w:type="dxa"/>
        <w:right w:w="108.0" w:type="dxa"/>
      </w:tblCellMar>
    </w:tblPr>
  </w:style>
  <w:style w:type="table" w:styleId="a0" w:customStyle="1">
    <w:basedOn w:val="TableNormala"/>
    <w:pPr>
      <w:spacing w:after="0" w:line="240" w:lineRule="auto"/>
    </w:pPr>
    <w:tblPr>
      <w:tblStyleRowBandSize w:val="1"/>
      <w:tblStyleColBandSize w:val="1"/>
      <w:tblCellMar>
        <w:left w:w="108.0" w:type="dxa"/>
        <w:right w:w="108.0" w:type="dxa"/>
      </w:tblCellMar>
    </w:tblPr>
  </w:style>
  <w:style w:type="table" w:styleId="a1" w:customStyle="1">
    <w:basedOn w:val="TableNormala"/>
    <w:pPr>
      <w:spacing w:after="0" w:line="240" w:lineRule="auto"/>
    </w:pPr>
    <w:tblPr>
      <w:tblStyleRowBandSize w:val="1"/>
      <w:tblStyleColBandSize w:val="1"/>
      <w:tblCellMar>
        <w:left w:w="108.0" w:type="dxa"/>
        <w:right w:w="108.0" w:type="dxa"/>
      </w:tblCellMar>
    </w:tblPr>
  </w:style>
  <w:style w:type="table" w:styleId="a2" w:customStyle="1">
    <w:basedOn w:val="TableNormala"/>
    <w:pPr>
      <w:spacing w:after="0" w:line="240" w:lineRule="auto"/>
    </w:pPr>
    <w:tblPr>
      <w:tblStyleRowBandSize w:val="1"/>
      <w:tblStyleColBandSize w:val="1"/>
      <w:tblCellMar>
        <w:left w:w="108.0" w:type="dxa"/>
        <w:right w:w="108.0" w:type="dxa"/>
      </w:tblCellMar>
    </w:tblPr>
  </w:style>
  <w:style w:type="table" w:styleId="a3" w:customStyle="1">
    <w:basedOn w:val="TableNormala"/>
    <w:pPr>
      <w:spacing w:after="0" w:line="240" w:lineRule="auto"/>
    </w:pPr>
    <w:tblPr>
      <w:tblStyleRowBandSize w:val="1"/>
      <w:tblStyleColBandSize w:val="1"/>
      <w:tblCellMar>
        <w:left w:w="108.0" w:type="dxa"/>
        <w:right w:w="108.0" w:type="dxa"/>
      </w:tblCellMar>
    </w:tblPr>
  </w:style>
  <w:style w:type="table" w:styleId="a4" w:customStyle="1">
    <w:basedOn w:val="TableNormala"/>
    <w:pPr>
      <w:spacing w:after="0" w:line="240" w:lineRule="auto"/>
    </w:pPr>
    <w:tblPr>
      <w:tblStyleRowBandSize w:val="1"/>
      <w:tblStyleColBandSize w:val="1"/>
      <w:tblCellMar>
        <w:left w:w="108.0" w:type="dxa"/>
        <w:right w:w="108.0" w:type="dxa"/>
      </w:tblCellMar>
    </w:tblPr>
  </w:style>
  <w:style w:type="character" w:styleId="Refdecomentrio">
    <w:name w:val="annotation reference"/>
    <w:uiPriority w:val="99"/>
    <w:semiHidden w:val="1"/>
    <w:unhideWhenUsed w:val="1"/>
    <w:rPr>
      <w:sz w:val="16"/>
      <w:szCs w:val="16"/>
    </w:rPr>
  </w:style>
  <w:style w:type="paragraph" w:styleId="Assuntodocomentrio">
    <w:name w:val="annotation subject"/>
    <w:basedOn w:val="Textodecomentrio"/>
    <w:next w:val="Textodecomentrio"/>
    <w:link w:val="AssuntodocomentrioChar"/>
    <w:uiPriority w:val="99"/>
    <w:semiHidden w:val="1"/>
    <w:unhideWhenUsed w:val="1"/>
    <w:rPr>
      <w:b w:val="1"/>
      <w:bCs w:val="1"/>
    </w:rPr>
  </w:style>
  <w:style w:type="character" w:styleId="AssuntodocomentrioChar" w:customStyle="1">
    <w:name w:val="Assunto do comentário Char"/>
    <w:basedOn w:val="TextodecomentrioChar"/>
    <w:link w:val="Assuntodocomentrio"/>
    <w:uiPriority w:val="99"/>
    <w:semiHidden w:val="1"/>
    <w:rPr>
      <w:b w:val="1"/>
      <w:bCs w:val="1"/>
      <w:sz w:val="20"/>
      <w:szCs w:val="20"/>
    </w:rPr>
  </w:style>
  <w:style w:type="paragraph" w:styleId="Textodecomentrio">
    <w:name w:val="annotation text"/>
    <w:basedOn w:val="Normal"/>
    <w:link w:val="TextodecomentrioChar"/>
    <w:uiPriority w:val="99"/>
    <w:semiHidden w:val="1"/>
    <w:unhideWhenUsed w:val="1"/>
    <w:pPr>
      <w:spacing w:line="240" w:lineRule="auto"/>
    </w:pPr>
    <w:rPr>
      <w:sz w:val="20"/>
      <w:szCs w:val="20"/>
    </w:rPr>
  </w:style>
  <w:style w:type="character" w:styleId="TextodecomentrioChar" w:customStyle="1">
    <w:name w:val="Texto de comentário Char"/>
    <w:link w:val="Textodecomentrio"/>
    <w:uiPriority w:val="99"/>
    <w:semiHidden w:val="1"/>
    <w:rPr>
      <w:sz w:val="20"/>
      <w:szCs w:val="20"/>
    </w:rPr>
  </w:style>
  <w:style w:type="table" w:styleId="a5" w:customStyle="1">
    <w:basedOn w:val="TableNormala"/>
    <w:pPr>
      <w:spacing w:after="0" w:line="240" w:lineRule="auto"/>
    </w:pPr>
    <w:tblPr>
      <w:tblStyleRowBandSize w:val="1"/>
      <w:tblStyleColBandSize w:val="1"/>
      <w:tblCellMar>
        <w:left w:w="108.0" w:type="dxa"/>
        <w:right w:w="108.0" w:type="dxa"/>
      </w:tblCellMar>
    </w:tblPr>
  </w:style>
  <w:style w:type="table" w:styleId="a6" w:customStyle="1">
    <w:basedOn w:val="TableNormala"/>
    <w:pPr>
      <w:spacing w:after="0" w:line="240" w:lineRule="auto"/>
    </w:pPr>
    <w:tblPr>
      <w:tblStyleRowBandSize w:val="1"/>
      <w:tblStyleColBandSize w:val="1"/>
      <w:tblCellMar>
        <w:left w:w="108.0" w:type="dxa"/>
        <w:right w:w="108.0" w:type="dxa"/>
      </w:tblCellMar>
    </w:tblPr>
  </w:style>
  <w:style w:type="table" w:styleId="a7" w:customStyle="1">
    <w:basedOn w:val="TableNormala"/>
    <w:pPr>
      <w:spacing w:after="0" w:line="240" w:lineRule="auto"/>
    </w:pPr>
    <w:tblPr>
      <w:tblStyleRowBandSize w:val="1"/>
      <w:tblStyleColBandSize w:val="1"/>
      <w:tblCellMar>
        <w:left w:w="108.0" w:type="dxa"/>
        <w:right w:w="108.0" w:type="dxa"/>
      </w:tblCellMar>
    </w:tblPr>
  </w:style>
  <w:style w:type="table" w:styleId="a8" w:customStyle="1">
    <w:basedOn w:val="TableNormala"/>
    <w:pPr>
      <w:spacing w:after="0" w:line="240" w:lineRule="auto"/>
    </w:pPr>
    <w:tblPr>
      <w:tblStyleRowBandSize w:val="1"/>
      <w:tblStyleColBandSize w:val="1"/>
      <w:tblCellMar>
        <w:left w:w="108.0" w:type="dxa"/>
        <w:right w:w="108.0" w:type="dxa"/>
      </w:tblCellMar>
    </w:tblPr>
  </w:style>
  <w:style w:type="table" w:styleId="a9" w:customStyle="1">
    <w:basedOn w:val="TableNormala"/>
    <w:pPr>
      <w:spacing w:after="0" w:line="240" w:lineRule="auto"/>
    </w:pPr>
    <w:tblPr>
      <w:tblStyleRowBandSize w:val="1"/>
      <w:tblStyleColBandSize w:val="1"/>
      <w:tblCellMar>
        <w:left w:w="108.0" w:type="dxa"/>
        <w:right w:w="108.0" w:type="dxa"/>
      </w:tblCellMar>
    </w:tblPr>
  </w:style>
  <w:style w:type="table" w:styleId="aa" w:customStyle="1">
    <w:basedOn w:val="TableNormala"/>
    <w:pPr>
      <w:spacing w:after="0" w:line="240" w:lineRule="auto"/>
    </w:pPr>
    <w:tblPr>
      <w:tblStyleRowBandSize w:val="1"/>
      <w:tblStyleColBandSize w:val="1"/>
      <w:tblCellMar>
        <w:left w:w="108.0" w:type="dxa"/>
        <w:right w:w="108.0" w:type="dxa"/>
      </w:tblCellMar>
    </w:tblPr>
  </w:style>
  <w:style w:type="table" w:styleId="ab" w:customStyle="1">
    <w:basedOn w:val="TableNormala"/>
    <w:pPr>
      <w:spacing w:after="0" w:line="240" w:lineRule="auto"/>
    </w:pPr>
    <w:tblPr>
      <w:tblStyleRowBandSize w:val="1"/>
      <w:tblStyleColBandSize w:val="1"/>
      <w:tblCellMar>
        <w:left w:w="108.0" w:type="dxa"/>
        <w:right w:w="108.0" w:type="dxa"/>
      </w:tblCellMar>
    </w:tblPr>
  </w:style>
  <w:style w:type="table" w:styleId="ac" w:customStyle="1">
    <w:basedOn w:val="TableNormala"/>
    <w:pPr>
      <w:spacing w:after="0" w:line="240" w:lineRule="auto"/>
    </w:pPr>
    <w:tblPr>
      <w:tblStyleRowBandSize w:val="1"/>
      <w:tblStyleColBandSize w:val="1"/>
      <w:tblCellMar>
        <w:left w:w="108.0" w:type="dxa"/>
        <w:right w:w="108.0" w:type="dxa"/>
      </w:tblCellMar>
    </w:tblPr>
  </w:style>
  <w:style w:type="table" w:styleId="ad" w:customStyle="1">
    <w:basedOn w:val="TableNormala"/>
    <w:pPr>
      <w:spacing w:after="0" w:line="240" w:lineRule="auto"/>
    </w:pPr>
    <w:tblPr>
      <w:tblStyleRowBandSize w:val="1"/>
      <w:tblStyleColBandSize w:val="1"/>
      <w:tblCellMar>
        <w:left w:w="108.0" w:type="dxa"/>
        <w:right w:w="108.0" w:type="dxa"/>
      </w:tblCellMar>
    </w:tblPr>
  </w:style>
  <w:style w:type="table" w:styleId="ae" w:customStyle="1">
    <w:basedOn w:val="TableNormala"/>
    <w:pPr>
      <w:spacing w:after="0" w:line="240" w:lineRule="auto"/>
    </w:pPr>
    <w:tblPr>
      <w:tblStyleRowBandSize w:val="1"/>
      <w:tblStyleColBandSize w:val="1"/>
      <w:tblCellMar>
        <w:left w:w="108.0" w:type="dxa"/>
        <w:right w:w="108.0" w:type="dxa"/>
      </w:tblCellMar>
    </w:tblPr>
  </w:style>
  <w:style w:type="table" w:styleId="af" w:customStyle="1">
    <w:basedOn w:val="TableNormala"/>
    <w:pPr>
      <w:spacing w:after="0" w:line="240" w:lineRule="auto"/>
    </w:pPr>
    <w:tblPr>
      <w:tblStyleRowBandSize w:val="1"/>
      <w:tblStyleColBandSize w:val="1"/>
      <w:tblCellMar>
        <w:left w:w="108.0" w:type="dxa"/>
        <w:right w:w="108.0" w:type="dxa"/>
      </w:tblCellMar>
    </w:tblPr>
  </w:style>
  <w:style w:type="table" w:styleId="af0" w:customStyle="1">
    <w:basedOn w:val="TableNormala"/>
    <w:pPr>
      <w:spacing w:after="0" w:line="240" w:lineRule="auto"/>
    </w:pPr>
    <w:tblPr>
      <w:tblStyleRowBandSize w:val="1"/>
      <w:tblStyleColBandSize w:val="1"/>
      <w:tblCellMar>
        <w:left w:w="108.0" w:type="dxa"/>
        <w:right w:w="108.0" w:type="dxa"/>
      </w:tblCellMar>
    </w:tblPr>
  </w:style>
  <w:style w:type="table" w:styleId="af1" w:customStyle="1">
    <w:basedOn w:val="TableNormala"/>
    <w:tblPr>
      <w:tblStyleRowBandSize w:val="1"/>
      <w:tblStyleColBandSize w:val="1"/>
      <w:tblCellMar>
        <w:top w:w="100.0" w:type="dxa"/>
        <w:left w:w="100.0" w:type="dxa"/>
        <w:bottom w:w="100.0" w:type="dxa"/>
        <w:right w:w="100.0" w:type="dxa"/>
      </w:tblCellMar>
    </w:tblPr>
  </w:style>
  <w:style w:type="table" w:styleId="af2"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3" w:customStyle="1">
    <w:basedOn w:val="TableNormala"/>
    <w:pPr>
      <w:spacing w:after="0" w:line="240" w:lineRule="auto"/>
    </w:pPr>
    <w:tblPr>
      <w:tblStyleRowBandSize w:val="1"/>
      <w:tblStyleColBandSize w:val="1"/>
      <w:tblCellMar>
        <w:left w:w="108.0" w:type="dxa"/>
        <w:right w:w="108.0" w:type="dxa"/>
      </w:tblCellMar>
    </w:tblPr>
  </w:style>
  <w:style w:type="table" w:styleId="af4" w:customStyle="1">
    <w:basedOn w:val="TableNormala"/>
    <w:tblPr>
      <w:tblStyleRowBandSize w:val="1"/>
      <w:tblStyleColBandSize w:val="1"/>
      <w:tblCellMar>
        <w:top w:w="100.0" w:type="dxa"/>
        <w:left w:w="100.0" w:type="dxa"/>
        <w:bottom w:w="100.0" w:type="dxa"/>
        <w:right w:w="100.0" w:type="dxa"/>
      </w:tblCellMar>
    </w:tblPr>
  </w:style>
  <w:style w:type="table" w:styleId="af5"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6"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7"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8"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9"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a"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b"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c"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character" w:styleId="Hyperlink">
    <w:name w:val="Hyperlink"/>
    <w:basedOn w:val="Fontepargpadro"/>
    <w:uiPriority w:val="99"/>
    <w:semiHidden w:val="1"/>
    <w:unhideWhenUsed w:val="1"/>
    <w:rsid w:val="00157E8D"/>
    <w:rPr>
      <w:color w:val="0000ff"/>
      <w:u w:val="single"/>
    </w:rPr>
  </w:style>
  <w:style w:type="paragraph" w:styleId="NormalWeb">
    <w:name w:val="Normal (Web)"/>
    <w:basedOn w:val="Normal"/>
    <w:uiPriority w:val="99"/>
    <w:unhideWhenUsed w:val="1"/>
    <w:rsid w:val="00A93AA6"/>
    <w:pPr>
      <w:spacing w:after="100" w:afterAutospacing="1" w:before="100" w:beforeAutospacing="1" w:line="240" w:lineRule="auto"/>
    </w:pPr>
    <w:rPr>
      <w:rFonts w:ascii="Times New Roman" w:cs="Times New Roman" w:eastAsia="Times New Roman" w:hAnsi="Times New Roman"/>
      <w:sz w:val="24"/>
      <w:szCs w:val="24"/>
    </w:rPr>
  </w:style>
  <w:style w:type="paragraph" w:styleId="PargrafodaLista">
    <w:name w:val="List Paragraph"/>
    <w:basedOn w:val="Normal"/>
    <w:uiPriority w:val="34"/>
    <w:qFormat w:val="1"/>
    <w:rsid w:val="00621999"/>
    <w:pPr>
      <w:ind w:left="720"/>
      <w:contextualSpacing w:val="1"/>
    </w:pPr>
  </w:style>
  <w:style w:type="character" w:styleId="Forte">
    <w:name w:val="Strong"/>
    <w:basedOn w:val="Fontepargpadro"/>
    <w:uiPriority w:val="22"/>
    <w:qFormat w:val="1"/>
    <w:rsid w:val="00D04A43"/>
    <w:rPr>
      <w:b w:val="1"/>
      <w:bCs w:val="1"/>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5.0" w:type="dxa"/>
        <w:left w:w="15.0" w:type="dxa"/>
        <w:bottom w:w="15.0" w:type="dxa"/>
        <w:right w:w="15.0" w:type="dxa"/>
      </w:tblCellMar>
    </w:tblPr>
  </w:style>
  <w:style w:type="table" w:styleId="Table5">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www.planalto.gov.br/ccivil_03/_Ato2019-2022/2022/Lei/L14344.htm#art31" TargetMode="External"/><Relationship Id="rId22" Type="http://schemas.openxmlformats.org/officeDocument/2006/relationships/hyperlink" Target="https://www.planalto.gov.br/ccivil_03/_Ato2019-2022/2019/Lei/L13874.htm#art7" TargetMode="External"/><Relationship Id="rId21" Type="http://schemas.openxmlformats.org/officeDocument/2006/relationships/hyperlink" Target="https://www.planalto.gov.br/ccivil_03/_Ato2019-2022/2022/Lei/L14344.htm#art34" TargetMode="External"/><Relationship Id="rId24" Type="http://schemas.openxmlformats.org/officeDocument/2006/relationships/footer" Target="footer3.xml"/><Relationship Id="rId23" Type="http://schemas.openxmlformats.org/officeDocument/2006/relationships/header" Target="header3.xm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png"/><Relationship Id="rId25" Type="http://schemas.openxmlformats.org/officeDocument/2006/relationships/footer" Target="footer4.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microsoft.com/office/2011/relationships/commentsExtended" Target="commentsExtended.xml"/><Relationship Id="rId11" Type="http://schemas.openxmlformats.org/officeDocument/2006/relationships/header" Target="header1.xml"/><Relationship Id="rId10" Type="http://schemas.openxmlformats.org/officeDocument/2006/relationships/header" Target="header2.xml"/><Relationship Id="rId13" Type="http://schemas.openxmlformats.org/officeDocument/2006/relationships/footer" Target="footer1.xml"/><Relationship Id="rId12" Type="http://schemas.openxmlformats.org/officeDocument/2006/relationships/footer" Target="footer2.xml"/><Relationship Id="rId15" Type="http://schemas.openxmlformats.org/officeDocument/2006/relationships/hyperlink" Target="http://www.planalto.gov.br/ccivil_03/LEIS/L8906.htm#art7xxi" TargetMode="External"/><Relationship Id="rId14" Type="http://schemas.openxmlformats.org/officeDocument/2006/relationships/hyperlink" Target="http://www.planalto.gov.br/ccivil_03/LEIS/L9043.htm#art1" TargetMode="External"/><Relationship Id="rId17" Type="http://schemas.openxmlformats.org/officeDocument/2006/relationships/hyperlink" Target="http://www.planalto.gov.br/ccivil_03/decreto-lei/del3689.htm#art16" TargetMode="External"/><Relationship Id="rId16" Type="http://schemas.openxmlformats.org/officeDocument/2006/relationships/hyperlink" Target="http://www.planalto.gov.br/ccivil_03/LEIS/L8906.htm#art7xxi" TargetMode="External"/><Relationship Id="rId19" Type="http://schemas.openxmlformats.org/officeDocument/2006/relationships/hyperlink" Target="https://www.planalto.gov.br/ccivil_03/LEIS/1980-1988/L7209.htm#art111" TargetMode="External"/><Relationship Id="rId18" Type="http://schemas.openxmlformats.org/officeDocument/2006/relationships/hyperlink" Target="https://www.planalto.gov.br/ccivil_03/LEIS/1980-1988/L7209.htm#art33"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O7pJsj/DvD7t02Vw4VTz+5lX7mA==">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2022-11-11T22:31:00Z</dcterms:created>
  <dc:creator>Juliana</dc:creator>
</cp:coreProperties>
</file>