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2343150" cy="704850"/>
            <wp:effectExtent b="0" l="0" r="0" t="0"/>
            <wp:docPr id="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before="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before="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before="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before="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2343150" cy="704850"/>
            <wp:effectExtent b="0" l="0" r="0" t="0"/>
            <wp:docPr id="1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before="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before="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before="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William Cardozo Silva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before="0" w:line="360" w:lineRule="auto"/>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2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Layout w:type="fixed"/>
        <w:tblLook w:val="0600"/>
      </w:tblPr>
      <w:tblGrid>
        <w:gridCol w:w="1980"/>
        <w:tblGridChange w:id="0">
          <w:tblGrid>
            <w:gridCol w:w="1980"/>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shd w:fill="auto" w:val="clear"/>
          </w:tcPr>
          <w:p w:rsidR="00000000" w:rsidDel="00000000" w:rsidP="00000000" w:rsidRDefault="00000000" w:rsidRPr="00000000" w14:paraId="00000031">
            <w:pPr>
              <w:widowControl w:val="0"/>
              <w:spacing w:after="160" w:before="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tcBorders>
              <w:top w:color="000000" w:space="0" w:sz="18" w:val="single"/>
              <w:left w:color="000000" w:space="0" w:sz="18" w:val="single"/>
              <w:bottom w:color="000000" w:space="0" w:sz="18" w:val="single"/>
              <w:right w:color="000000" w:space="0" w:sz="18" w:val="single"/>
            </w:tcBorders>
            <w:shd w:fill="auto" w:val="clear"/>
            <w:vAlign w:val="center"/>
          </w:tcPr>
          <w:p w:rsidR="00000000" w:rsidDel="00000000" w:rsidP="00000000" w:rsidRDefault="00000000" w:rsidRPr="00000000" w14:paraId="00000032">
            <w:pPr>
              <w:widowControl w:val="0"/>
              <w:spacing w:after="160" w:before="0" w:lineRule="auto"/>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1,87</w:t>
            </w:r>
          </w:p>
        </w:tc>
      </w:tr>
    </w:tbl>
    <w:p w:rsidR="00000000" w:rsidDel="00000000" w:rsidP="00000000" w:rsidRDefault="00000000" w:rsidRPr="00000000" w14:paraId="00000033">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Beatriz Castilho Noronha Silva, RA: 20000400 </w:t>
      </w:r>
    </w:p>
    <w:p w:rsidR="00000000" w:rsidDel="00000000" w:rsidP="00000000" w:rsidRDefault="00000000" w:rsidRPr="00000000" w14:paraId="0000003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Heda Nayra dos Santos Bacheschi, RA: 20001081</w:t>
      </w:r>
    </w:p>
    <w:p w:rsidR="00000000" w:rsidDel="00000000" w:rsidP="00000000" w:rsidRDefault="00000000" w:rsidRPr="00000000" w14:paraId="00000037">
      <w:pPr>
        <w:spacing w:after="0" w:before="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36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Helder Estevão Ferrari, RA: 20001297</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0" distT="0" distL="0" distR="0">
            <wp:extent cx="2343150" cy="704850"/>
            <wp:effectExtent b="0" l="0" r="0" t="0"/>
            <wp:docPr id="1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before="0" w:line="24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before="0" w:line="240" w:lineRule="auto"/>
        <w:jc w:val="center"/>
        <w:rPr>
          <w:rFonts w:ascii="Verdana" w:cs="Verdana" w:eastAsia="Verdana" w:hAnsi="Verdana"/>
          <w:b w:val="1"/>
        </w:rPr>
      </w:pPr>
      <w:r w:rsidDel="00000000" w:rsidR="00000000" w:rsidRPr="00000000">
        <w:rPr>
          <w:rtl w:val="0"/>
        </w:rPr>
      </w:r>
    </w:p>
    <w:tbl>
      <w:tblPr>
        <w:tblStyle w:val="Table2"/>
        <w:tblW w:w="9016.0" w:type="dxa"/>
        <w:jc w:val="left"/>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widowControl w:val="0"/>
              <w:spacing w:after="160" w:before="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before="0" w:line="24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before="0" w:line="24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before="0" w:line="24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before="0" w:line="24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before="0" w:line="24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before="0" w:line="240" w:lineRule="auto"/>
        <w:jc w:val="center"/>
        <w:rPr>
          <w:rFonts w:ascii="Verdana" w:cs="Verdana" w:eastAsia="Verdana" w:hAnsi="Verdana"/>
          <w:b w:val="1"/>
        </w:rPr>
      </w:pPr>
      <w:r w:rsidDel="00000000" w:rsidR="00000000" w:rsidRPr="00000000">
        <w:rPr>
          <w:rtl w:val="0"/>
        </w:rPr>
      </w:r>
    </w:p>
    <w:tbl>
      <w:tblPr>
        <w:tblStyle w:val="Table3"/>
        <w:tblW w:w="9016.0" w:type="dxa"/>
        <w:jc w:val="left"/>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widowControl w:val="0"/>
              <w:spacing w:after="160" w:before="200" w:line="360" w:lineRule="auto"/>
              <w:ind w:right="17" w:firstLine="0"/>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widowControl w:val="0"/>
              <w:spacing w:line="360" w:lineRule="auto"/>
              <w:ind w:right="17" w:firstLine="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widowControl w:val="0"/>
              <w:spacing w:line="360" w:lineRule="auto"/>
              <w:ind w:right="17"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widowControl w:val="0"/>
              <w:spacing w:line="360" w:lineRule="auto"/>
              <w:ind w:right="17" w:firstLine="0"/>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widowControl w:val="0"/>
              <w:spacing w:line="360" w:lineRule="auto"/>
              <w:ind w:right="17" w:firstLine="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widowControl w:val="0"/>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widowControl w:val="0"/>
              <w:spacing w:line="360" w:lineRule="auto"/>
              <w:ind w:right="17"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widowControl w:val="0"/>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widowControl w:val="0"/>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widowControl w:val="0"/>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widowControl w:val="0"/>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widowControl w:val="0"/>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widowControl w:val="0"/>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widowControl w:val="0"/>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widowControl w:val="0"/>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widowControl w:val="0"/>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widowControl w:val="0"/>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widowControl w:val="0"/>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widowControl w:val="0"/>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widowControl w:val="0"/>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widowControl w:val="0"/>
              <w:numPr>
                <w:ilvl w:val="0"/>
                <w:numId w:val="3"/>
              </w:numPr>
              <w:spacing w:after="200" w:before="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before="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before="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before="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before="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before="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before="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before="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before="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before="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before="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before="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before="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5"/>
        </w:numPr>
        <w:spacing w:after="200" w:before="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5"/>
        </w:numPr>
        <w:spacing w:after="200" w:before="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5"/>
        </w:numPr>
        <w:spacing w:after="200" w:before="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5"/>
        </w:numPr>
        <w:spacing w:after="200" w:before="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before="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90">
      <w:pPr>
        <w:spacing w:after="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91">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2">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3">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4">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5">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6">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7">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8">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9">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A">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B">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C">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9D">
      <w:pPr>
        <w:spacing w:after="0" w:before="240" w:line="360" w:lineRule="auto"/>
        <w:jc w:val="both"/>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ASSUNTO: Nulidade de inquérito e processo criminal devido à ausência de defensor. Cumprimento de pena. Regularidade de Recurso Adesivo. Percentual de honorários advocatícios em cláusula </w:t>
      </w:r>
      <w:r w:rsidDel="00000000" w:rsidR="00000000" w:rsidRPr="00000000">
        <w:rPr>
          <w:rFonts w:ascii="Times New Roman" w:cs="Times New Roman" w:eastAsia="Times New Roman" w:hAnsi="Times New Roman"/>
          <w:i w:val="1"/>
          <w:sz w:val="24"/>
          <w:szCs w:val="24"/>
          <w:highlight w:val="white"/>
          <w:rtl w:val="0"/>
        </w:rPr>
        <w:t xml:space="preserve">quota litis.</w:t>
      </w:r>
    </w:p>
    <w:p w:rsidR="00000000" w:rsidDel="00000000" w:rsidP="00000000" w:rsidRDefault="00000000" w:rsidRPr="00000000" w14:paraId="0000009E">
      <w:pPr>
        <w:spacing w:after="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CONSULENTE: Lívia Roberta.</w:t>
      </w:r>
    </w:p>
    <w:p w:rsidR="00000000" w:rsidDel="00000000" w:rsidP="00000000" w:rsidRDefault="00000000" w:rsidRPr="00000000" w14:paraId="0000009F">
      <w:pPr>
        <w:spacing w:after="0" w:before="0" w:line="36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spacing w:after="0" w:before="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INQUÉRITO POLICIAL. INTERROGATÓRIO SEM DEFENSOR. NULIDADE DA AÇÃO PENAL. </w:t>
      </w:r>
      <w:r w:rsidDel="00000000" w:rsidR="00000000" w:rsidRPr="00000000">
        <w:rPr>
          <w:rFonts w:ascii="Times New Roman" w:cs="Times New Roman" w:eastAsia="Times New Roman" w:hAnsi="Times New Roman"/>
          <w:sz w:val="24"/>
          <w:szCs w:val="24"/>
          <w:highlight w:val="white"/>
          <w:rtl w:val="0"/>
        </w:rPr>
        <w:t xml:space="preserve">INOCORRÊNCIA</w:t>
      </w:r>
      <w:r w:rsidDel="00000000" w:rsidR="00000000" w:rsidRPr="00000000">
        <w:rPr>
          <w:rFonts w:ascii="Times New Roman" w:cs="Times New Roman" w:eastAsia="Times New Roman" w:hAnsi="Times New Roman"/>
          <w:sz w:val="24"/>
          <w:szCs w:val="24"/>
          <w:rtl w:val="0"/>
        </w:rPr>
        <w:t xml:space="preserve">. CUMPRIMENTO DE PENA. PROGRESSÃO DE REGIME. REGIME FECHADO. RECURSO ADESIVO. PRAZO PARA INTERPOSIÇÃO. CONTRATO DE HONORÁRIOS ADVOCATÍCIOS. CLÁUSULA POR PERCENTUAL DA LIDE. AUTONOMIA DE VONTADE. LIMITAÇÃO. BOA-FÉ E FUNÇÃO SOCIAL DO CONTRATO. CÓDIGO DE ÉTICA DA OAB.</w:t>
      </w:r>
    </w:p>
    <w:p w:rsidR="00000000" w:rsidDel="00000000" w:rsidP="00000000" w:rsidRDefault="00000000" w:rsidRPr="00000000" w14:paraId="000000A1">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Trata-se de consulta efetuada por Lívia Roberta para esclarecimento das dúvidas que serão expostas a seguir.</w:t>
      </w:r>
    </w:p>
    <w:p w:rsidR="00000000" w:rsidDel="00000000" w:rsidP="00000000" w:rsidRDefault="00000000" w:rsidRPr="00000000" w14:paraId="000000A2">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De início, a consulente narra que atualmente vive em São Paulo – SP, porém, aos 11 anos, ainda quando residia em Francisco Morato - SP, foi violentada sexualmente por diversas vezes pelo seu tio, o qual é chamado de Sérgio “Lorota”. Entretanto, após 8 anos silente, optou por levar os fatos à polícia e, posteriormente ao registro de Boletim de Ocorrência, foi devidamente instaurado inquérito policial para apuração do crime, fato que levou “Lorota” a se evadir para local incerto e não sabido ao tomar conhecimento da investigação, sendo sua prisão preventiva decretada pelo juiz. </w:t>
      </w:r>
    </w:p>
    <w:p w:rsidR="00000000" w:rsidDel="00000000" w:rsidP="00000000" w:rsidRDefault="00000000" w:rsidRPr="00000000" w14:paraId="000000A3">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Nessa senda, quando encontrado, o tio de Lívia não foi informado da possibilidade de ser ouvido acompanhado de advogado durante seu interrogatório, sendo que o delegado conduziu sozinho os atos inquisitoriais, os quais posteriormente culminaram na instauração do processo em que foi denunciado pelo crime de estupro de vulnerável tipificado no art. 217- A do Código Penal.</w:t>
      </w:r>
    </w:p>
    <w:p w:rsidR="00000000" w:rsidDel="00000000" w:rsidP="00000000" w:rsidRDefault="00000000" w:rsidRPr="00000000" w14:paraId="000000A4">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Ademais, a consulente alega que foi contatada por telefone por Pedro, advogado de defesa de “Lorota” a fim de um encontro pessoal, oportunidade em que mesmo pediu a ela que retirasse as acusações feitas contra seu tio, argumentando que a situação do acusado ficaria complexa pelo fato de que o mesmo teria saído há apenas quatro meses do presídio por estar cumprindo uma pena de dez anos pelo crime de tráfico. Por conseguinte, ao demonstrar seu dissabor com a situação que ali se desenrolava, a consulente foi ameaçada de ser processada pelo crime de calúnia pelo patrono de seu tio, o qual ainda afirmou que conseguiria anular o processo já instaurado por meio de um ‘habeas corpus’ devido à ausência de advogado para auxiliar Sérgio no interrogatório ocorrido na delegacia.</w:t>
      </w:r>
    </w:p>
    <w:p w:rsidR="00000000" w:rsidDel="00000000" w:rsidP="00000000" w:rsidRDefault="00000000" w:rsidRPr="00000000" w14:paraId="000000A5">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Outrossim, a consulente alega que havia sido vítima de fraude por parte da PNTM Financeira S.A, a qual se valeu de seus dados para realizar um empréstimo fraudulento no valor de R$ 20.000,00 (vinte mil reais) em seu nome sem seu consentimento, sendo-lhe cobradas prestações mensais de R$ 400,00 (quatrocentos reais). Em vista disso, Lívia expõe que, com o auxílio de seu advogado Cleber, recorreu ao judiciário pleiteando a declaração da inexigibilidade do débito e da inexistência da relação jurídica do contrato de empréstimo, bem como indenização por danos morais no importe de R$ 10.000,00 (dez mil reais). Julgado o processo procedente, o magistrado da causa fixou a indenização a ser paga no montante de R$ 5.000,00 (cinco mil reais), motivo pelo qual a consulente, reputando a quantia arbitrada suficiente o bastante para não querer dar prosseguimento ao processo, expôs manifesto desinteresse na interposição de recurso para majoração da quantia quando indagada pelo seu advogado acerca do tema. </w:t>
      </w:r>
    </w:p>
    <w:p w:rsidR="00000000" w:rsidDel="00000000" w:rsidP="00000000" w:rsidRDefault="00000000" w:rsidRPr="00000000" w14:paraId="000000A6">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Não obstante, Lívia informa que, ao procurar informações junto à serventia judicial em que tramita o processo cível supracitado, tomou conhecimento que Cléber, sem seu consentimento, interpôs recurso para aumentar a indenização determinada pelo juiz e que, mesmo transcorrido o prazo para recorrer, a financeira apresentou recurso quando intimada a se manifestar, pleiteando em suas razões a diminuição da indenização e até mesmo a improcedência do pedido.</w:t>
      </w:r>
    </w:p>
    <w:p w:rsidR="00000000" w:rsidDel="00000000" w:rsidP="00000000" w:rsidRDefault="00000000" w:rsidRPr="00000000" w14:paraId="000000A7">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Por fim, Lívia afirma que, ao consultar o contrato de prestação de serviços advocatícios celebrado com Cleber em busca do permissivo para que o causídico houvesse recorrido sem seu consentimento, deparou-se com cláusula que estabelece os honorários advocatícios em 60% do proveito econômico obtido com o resultado do processo.</w:t>
      </w:r>
    </w:p>
    <w:p w:rsidR="00000000" w:rsidDel="00000000" w:rsidP="00000000" w:rsidRDefault="00000000" w:rsidRPr="00000000" w14:paraId="000000A8">
      <w:pPr>
        <w:spacing w:after="0" w:before="240" w:line="360" w:lineRule="auto"/>
        <w:ind w:firstLine="708"/>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Esclarecidos os fatos, sobrevieram questionamentos do consulente, os quais serão expostos a seguir. O primeiro, refere-se à possibilidade de anulação do inquérito policial e o processo judicial em que seu tio é réu devido ao fato da ausência de advogado no interrogatório realizado. A segunda indagação, ainda sobre “Lorota”, é no sentido de se esclarecer se, caso condenado, o mesmo cumpriria a pena integralmente no presídio. O terceiro questionamento, por sua vez, é no tocante à regularidade do recurso interposto após o decurso do prazo recursal pela instituição financeira do processo cível. Por fim, a quarta questão levantada pela consulente destina-se a elucidar se seria correta a cláusula referente aos honorários advocatícios do contrato efetuado com Cleber, mormente em relação ao percentual fixado. </w:t>
      </w:r>
    </w:p>
    <w:p w:rsidR="00000000" w:rsidDel="00000000" w:rsidP="00000000" w:rsidRDefault="00000000" w:rsidRPr="00000000" w14:paraId="000000A9">
      <w:pPr>
        <w:spacing w:after="200" w:before="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 passamos a opinar.</w:t>
      </w:r>
    </w:p>
    <w:p w:rsidR="00000000" w:rsidDel="00000000" w:rsidP="00000000" w:rsidRDefault="00000000" w:rsidRPr="00000000" w14:paraId="000000AA">
      <w:pPr>
        <w:numPr>
          <w:ilvl w:val="0"/>
          <w:numId w:val="2"/>
        </w:numPr>
        <w:spacing w:after="200" w:before="0" w:line="360" w:lineRule="auto"/>
        <w:ind w:left="720" w:hanging="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anulação da investigação e do processo criminal em decorrência da ausência de advogado </w:t>
      </w: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no interrogatório</w:t>
      </w:r>
      <w:commentRangeEnd w:id="2"/>
      <w:r w:rsidDel="00000000" w:rsidR="00000000" w:rsidRPr="00000000">
        <w:commentReference w:id="2"/>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AB">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Direito Processual Penal possui como princípios orientadores o contraditório e a ampla defesa, consagrados na Constituição Federal de 1988 em seu art. 5º. </w:t>
      </w:r>
      <w:r w:rsidDel="00000000" w:rsidR="00000000" w:rsidRPr="00000000">
        <w:rPr>
          <w:rFonts w:ascii="Times New Roman" w:cs="Times New Roman" w:eastAsia="Times New Roman" w:hAnsi="Times New Roman"/>
          <w:sz w:val="24"/>
          <w:szCs w:val="24"/>
          <w:highlight w:val="white"/>
          <w:rtl w:val="0"/>
        </w:rPr>
        <w:t xml:space="preserve">LV: “aos litigantes, em processo judicial ou administrativo, e aos acusados em geral são assegurados o contraditório e ampla defesa, com os meios e recursos a ela inerentes;”. </w:t>
      </w:r>
      <w:sdt>
        <w:sdtPr>
          <w:tag w:val="goog_rdk_3"/>
        </w:sdtPr>
        <w:sdtContent>
          <w:commentRangeStart w:id="3"/>
        </w:sdtContent>
      </w:sdt>
      <w:r w:rsidDel="00000000" w:rsidR="00000000" w:rsidRPr="00000000">
        <w:rPr>
          <w:rFonts w:ascii="Times New Roman" w:cs="Times New Roman" w:eastAsia="Times New Roman" w:hAnsi="Times New Roman"/>
          <w:sz w:val="24"/>
          <w:szCs w:val="24"/>
          <w:highlight w:val="white"/>
          <w:rtl w:val="0"/>
        </w:rPr>
        <w:t xml:space="preserve">Dessa forma, o princípio do contraditório preceitua que, na relação processual, toda vez que a parte fizer alegações ou apresentar provas, a parte contrária - seja a acusação ou defesa - possui o direito de se manifestar e contradizê-las. O princípio da ampla defesa, por sua vez, dispõe que o acusado pode valer-se de amplos métodos para se defender das alegações a ele imputadas. No entanto, na fase investigatória, isto é, no âmbito do inquérito policial, não há que se falar em contraditório e ampla defesa.  </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AC">
      <w:pPr>
        <w:spacing w:after="0" w:before="0"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O inquérito policial, procedimento administrativo de natureza inquisitória, tem como objetivo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a apurar </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indícios de autoria e materialidade e, com isso, formar o convencimento do titular da ação penal - o Ministério Público -  para que este a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instaure</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Tal procedimento deve ser iniciado pelo Delegado de Polícia, de ofício ou mediante requisição da autoridade judiciária ou do </w:t>
      </w:r>
      <w:r w:rsidDel="00000000" w:rsidR="00000000" w:rsidRPr="00000000">
        <w:rPr>
          <w:rFonts w:ascii="Times New Roman" w:cs="Times New Roman" w:eastAsia="Times New Roman" w:hAnsi="Times New Roman"/>
          <w:i w:val="1"/>
          <w:sz w:val="24"/>
          <w:szCs w:val="24"/>
          <w:rtl w:val="0"/>
        </w:rPr>
        <w:t xml:space="preserve">Parquet, </w:t>
      </w:r>
      <w:r w:rsidDel="00000000" w:rsidR="00000000" w:rsidRPr="00000000">
        <w:rPr>
          <w:rFonts w:ascii="Times New Roman" w:cs="Times New Roman" w:eastAsia="Times New Roman" w:hAnsi="Times New Roman"/>
          <w:sz w:val="24"/>
          <w:szCs w:val="24"/>
          <w:rtl w:val="0"/>
        </w:rPr>
        <w:t xml:space="preserve">a requerimento do ofendido ou de seu representante. Conforme os ensinamentos de Guilherme de Souza Nucci (2022, p. 185):</w:t>
      </w:r>
      <w:r w:rsidDel="00000000" w:rsidR="00000000" w:rsidRPr="00000000">
        <w:rPr>
          <w:rtl w:val="0"/>
        </w:rPr>
      </w:r>
    </w:p>
    <w:p w:rsidR="00000000" w:rsidDel="00000000" w:rsidP="00000000" w:rsidRDefault="00000000" w:rsidRPr="00000000" w14:paraId="000000AD">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inquérito policial é um procedimento preparatório da ação penal, de caráter administrativo, conduzido pela polícia judiciária e voltado à colheita preliminar de provas para apurar a prática de uma infração penal e sua autoria.</w:t>
      </w:r>
    </w:p>
    <w:p w:rsidR="00000000" w:rsidDel="00000000" w:rsidP="00000000" w:rsidRDefault="00000000" w:rsidRPr="00000000" w14:paraId="000000AE">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Frise-se que as provas produzidas no inquérito policial são, na verdade, elementos informativos que visam a formar o convencimento de que há suficientes indícios de autoria e materialidade que justifiquem o ajuizamento da ação penal.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Dessa forma, os elementos informativos não são provas propriamente ditas - com exceção das provas cautelares, não repetíveis e antecipadas - visto que foram produzidos sem a observância do contraditório e da ampla defesa.</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B0">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linha, o art.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6 </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do Código de Processo Penal preceitua que, logo que obtiver conhecimento da prática de infração penal, a autoridade policial deverá ouvir o indiciado. Entende-se que, ante a inexistência do contraditório e da ampla defesa na investigação, não é obrigatória a presença do advogado no interrogatório realizado no âmbito do inquérito policial.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Contudo, caso o acusado solicite a assistência de seu advogado, sua presença será obrigatória, sob pena de nulidade do interrogatório ou depoimento</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Conforme Norberto Avena (2022, p. 135):</w:t>
      </w:r>
    </w:p>
    <w:p w:rsidR="00000000" w:rsidDel="00000000" w:rsidP="00000000" w:rsidRDefault="00000000" w:rsidRPr="00000000" w14:paraId="000000B1">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Afinal, referida alteração legislativa não modificou o Código de Processo Penal de modo a estabelecer a obrigatoriedade da assistência de advogado ao investigado durante o inquérito. [...] O que fez, isto sim, foi </w:t>
      </w:r>
      <w:r w:rsidDel="00000000" w:rsidR="00000000" w:rsidRPr="00000000">
        <w:rPr>
          <w:rFonts w:ascii="Times New Roman" w:cs="Times New Roman" w:eastAsia="Times New Roman" w:hAnsi="Times New Roman"/>
          <w:b w:val="1"/>
          <w:sz w:val="20"/>
          <w:szCs w:val="20"/>
          <w:rtl w:val="0"/>
        </w:rPr>
        <w:t xml:space="preserve">assegurar o direito do advogado em assisti-lo, não podendo esse direito, quando requerido o seu exercício, ser obstado</w:t>
      </w:r>
      <w:r w:rsidDel="00000000" w:rsidR="00000000" w:rsidRPr="00000000">
        <w:rPr>
          <w:rFonts w:ascii="Times New Roman" w:cs="Times New Roman" w:eastAsia="Times New Roman" w:hAnsi="Times New Roman"/>
          <w:sz w:val="20"/>
          <w:szCs w:val="20"/>
          <w:rtl w:val="0"/>
        </w:rPr>
        <w:t xml:space="preserve"> sob pena, agora sim, de nulidade do interrogatório, do depoimento e de todos os atos que daí decorrerem. </w:t>
      </w:r>
    </w:p>
    <w:p w:rsidR="00000000" w:rsidDel="00000000" w:rsidP="00000000" w:rsidRDefault="00000000" w:rsidRPr="00000000" w14:paraId="000000B2">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0B3">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caso, será declarada a nulidade do interrogatório em si, e não a nulidade do inquérito policial, posto que este não pode ser considerado nulo mas sim a prova produzida nesta fase. Em relação a isso, Avena (2022, p. 137) discorre que:</w:t>
      </w:r>
    </w:p>
    <w:p w:rsidR="00000000" w:rsidDel="00000000" w:rsidP="00000000" w:rsidRDefault="00000000" w:rsidRPr="00000000" w14:paraId="000000B5">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[...]despindo-se a sua confecção de formalidades sacramentais (a lei não estabelece um procedimento específico para sua feitura), não pode padecer de vícios que o nulifiquem. Isto não significa, obviamente, que uma determinada prova produzida no inquérito não possa vir a ser considerada nula no curso do processo criminal. Nessa hipótese, porém, a prova é que será nula e não o inquérito policial no bojo do qual foi ela realizada. </w:t>
      </w:r>
    </w:p>
    <w:p w:rsidR="00000000" w:rsidDel="00000000" w:rsidP="00000000" w:rsidRDefault="00000000" w:rsidRPr="00000000" w14:paraId="000000B6">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7">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ainda que o interrogatório no inquérito policial for realizado em desacordo com o disposto em lei, não implicará na nulidade da fase seguinte, que é a ação penal. Por outro lado, se fosse o réu ouvido no processo criminal sem defensor, trataria-se de nulidade absoluta, uma vez que o art. 261 do CPP preceitua que "nenhum acusado, ainda que ausente ou foragido, será processado ou julgado sem defensor."</w:t>
      </w:r>
    </w:p>
    <w:p w:rsidR="00000000" w:rsidDel="00000000" w:rsidP="00000000" w:rsidRDefault="00000000" w:rsidRPr="00000000" w14:paraId="000000B8">
      <w:pPr>
        <w:spacing w:after="0" w:before="0" w:line="360" w:lineRule="auto"/>
        <w:ind w:firstLine="720"/>
        <w:jc w:val="both"/>
        <w:rPr>
          <w:rFonts w:ascii="Times New Roman" w:cs="Times New Roman" w:eastAsia="Times New Roman" w:hAnsi="Times New Roman"/>
          <w:sz w:val="24"/>
          <w:szCs w:val="24"/>
        </w:rPr>
      </w:pP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Outrossim, o art. 155 do CPP dispõe que o juiz não pode fundamentar sua decisão exclusivamente nos elementos informativos colhidos na investigação, ressalvadas as provas cautelares, não repetíveis e antecipadas, como dito anteriormente. Desse modo, não é possível que o julgador baseie suas decisões exclusivamente nas provas recolhidas no inquérito policial, uma vez que, como este prescinde do contraditório e da ampla defesa, o acusado não teve a oportunidade de se manifestar e apresentar sua defesa.</w:t>
      </w:r>
      <w:commentRangeEnd w:id="9"/>
      <w:r w:rsidDel="00000000" w:rsidR="00000000" w:rsidRPr="00000000">
        <w:commentReference w:id="9"/>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9">
      <w:pPr>
        <w:spacing w:after="0" w:before="0" w:line="360" w:lineRule="auto"/>
        <w:ind w:firstLine="720"/>
        <w:jc w:val="both"/>
        <w:rPr>
          <w:rFonts w:ascii="Times New Roman" w:cs="Times New Roman" w:eastAsia="Times New Roman" w:hAnsi="Times New Roman"/>
          <w:sz w:val="24"/>
          <w:szCs w:val="24"/>
        </w:rPr>
      </w:pP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Com efeito, uma vez que o juiz não poderá utilizar-se exclusivamente destas provas como base para suas decisões, é necessário que as provas já colhidas no inquérito sejam renovadas ou confirmadas na ação penal. Portanto, a nulidade do interrogatório não tem o condão de anular o processo em si, já que o inquérito policial é dispensável para propositura da ação penal. Segundo Guilherme de Souza Nucci (2022, p. 947):</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0BA">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Se algum elemento de prova for produzido em desacordo com o preceituado em lei, cabe ao magistrado, durante a instrução – e mesmo antes, se for preciso –, determinar que seja refeito (ex.: um laudo juntado aos autos do inquérito foi produzido por um só perito. Deve ser novamente realizado, embora permaneça válido o inquérito).</w:t>
      </w:r>
    </w:p>
    <w:p w:rsidR="00000000" w:rsidDel="00000000" w:rsidP="00000000" w:rsidRDefault="00000000" w:rsidRPr="00000000" w14:paraId="000000BB">
      <w:pPr>
        <w:spacing w:after="0" w:before="0" w:line="360" w:lineRule="auto"/>
        <w:ind w:left="2267" w:firstLine="0"/>
        <w:jc w:val="both"/>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BC">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 Fernando Capez (2022, p. 53):</w:t>
      </w:r>
    </w:p>
    <w:p w:rsidR="00000000" w:rsidDel="00000000" w:rsidP="00000000" w:rsidRDefault="00000000" w:rsidRPr="00000000" w14:paraId="000000BD">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Não sendo o inquérito policial ato de manifestação do Poder Jurisdicional, mas mero procedimento informativo destinado à formação da opinio delicti do titular da ação penal, os vícios por acaso existentes nessa fase não acarretam nulidades processuais, isto é, não atingem a fase seguinte da persecução penal: a da ação penal. A irregularidade poderá, entretanto, gerar a invalidade e a ineficácia do ato inquinado, v. g., do auto de prisão em flagrante como peça coercitiva; do reconhecimento pessoal, da busca e apreensão etc.</w:t>
      </w:r>
    </w:p>
    <w:p w:rsidR="00000000" w:rsidDel="00000000" w:rsidP="00000000" w:rsidRDefault="00000000" w:rsidRPr="00000000" w14:paraId="000000BE">
      <w:pPr>
        <w:spacing w:after="0" w:before="0" w:line="360" w:lineRule="auto"/>
        <w:jc w:val="both"/>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BF">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mesma linha, Norberto Avena (2022, p. 137):</w:t>
      </w:r>
    </w:p>
    <w:p w:rsidR="00000000" w:rsidDel="00000000" w:rsidP="00000000" w:rsidRDefault="00000000" w:rsidRPr="00000000" w14:paraId="000000C0">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fim, cabe ressaltar a independência formal do inquérito em relação ao processo criminal que, com base nele, for instaurado. Portanto, no caso de serem inobservadas, na sindicância policial, normas procedimentais estabelecidas para a realização de uma determinada diligência, a consequência não será a nulidade automática do processo, mas unicamente a redução do já minimizado valor probante que é atribuído ao inquérito.</w:t>
      </w:r>
    </w:p>
    <w:p w:rsidR="00000000" w:rsidDel="00000000" w:rsidP="00000000" w:rsidRDefault="00000000" w:rsidRPr="00000000" w14:paraId="000000C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2">
      <w:pPr>
        <w:spacing w:after="0" w:before="0" w:line="360" w:lineRule="auto"/>
        <w:ind w:firstLine="72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rtl w:val="0"/>
        </w:rPr>
        <w:t xml:space="preserve">Na jurisprudência, o Supremo Tribunal Federal adota esse mesmo posicionamento:</w:t>
      </w:r>
      <w:r w:rsidDel="00000000" w:rsidR="00000000" w:rsidRPr="00000000">
        <w:rPr>
          <w:rtl w:val="0"/>
        </w:rPr>
      </w:r>
    </w:p>
    <w:p w:rsidR="00000000" w:rsidDel="00000000" w:rsidP="00000000" w:rsidRDefault="00000000" w:rsidRPr="00000000" w14:paraId="000000C3">
      <w:pPr>
        <w:spacing w:after="0" w:before="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REGIMENTAL EM RECURSO ORDINÁRIO EM </w:t>
      </w:r>
      <w:r w:rsidDel="00000000" w:rsidR="00000000" w:rsidRPr="00000000">
        <w:rPr>
          <w:rFonts w:ascii="Times New Roman" w:cs="Times New Roman" w:eastAsia="Times New Roman" w:hAnsi="Times New Roman"/>
          <w:i w:val="1"/>
          <w:sz w:val="20"/>
          <w:szCs w:val="20"/>
          <w:highlight w:val="white"/>
          <w:rtl w:val="0"/>
        </w:rPr>
        <w:t xml:space="preserve">HABEAS CORPUS</w:t>
      </w:r>
      <w:r w:rsidDel="00000000" w:rsidR="00000000" w:rsidRPr="00000000">
        <w:rPr>
          <w:rFonts w:ascii="Times New Roman" w:cs="Times New Roman" w:eastAsia="Times New Roman" w:hAnsi="Times New Roman"/>
          <w:sz w:val="20"/>
          <w:szCs w:val="20"/>
          <w:highlight w:val="white"/>
          <w:rtl w:val="0"/>
        </w:rPr>
        <w:t xml:space="preserve">. PROCESSUAL PENAL. REITERAÇÃO DOS ARGUMENTOS EXPOSTOS NA INICIAL QUE NÃO INFIRMAM OS FUNDAMENTOS DA DECISÃO AGRAVADA. </w:t>
      </w:r>
      <w:r w:rsidDel="00000000" w:rsidR="00000000" w:rsidRPr="00000000">
        <w:rPr>
          <w:rFonts w:ascii="Times New Roman" w:cs="Times New Roman" w:eastAsia="Times New Roman" w:hAnsi="Times New Roman"/>
          <w:b w:val="1"/>
          <w:sz w:val="20"/>
          <w:szCs w:val="20"/>
          <w:highlight w:val="white"/>
          <w:rtl w:val="0"/>
        </w:rPr>
        <w:t xml:space="preserve">ALEGAÇÃO DE NULIDADE DE INTERROGATÓRIOS PRESTADOS EM INQUÉRITO POLICIAL SEM A PRESENÇA DE ADVOGADO. IMPROCEDÊNCIA</w:t>
      </w:r>
      <w:r w:rsidDel="00000000" w:rsidR="00000000" w:rsidRPr="00000000">
        <w:rPr>
          <w:rFonts w:ascii="Times New Roman" w:cs="Times New Roman" w:eastAsia="Times New Roman" w:hAnsi="Times New Roman"/>
          <w:sz w:val="20"/>
          <w:szCs w:val="20"/>
          <w:highlight w:val="white"/>
          <w:rtl w:val="0"/>
        </w:rPr>
        <w:t xml:space="preserve">. PROCEDIMENTO ADMINISTRATIVO DE NATUREZA INQUISITORIAL. ALTERAÇÕES INTRODUZIDAS PELA LEI 13.245/2016 NA LEI 8.906/1994 IMPLICAM REFORÇO DAS PRERROGATIVAS DOS PROFISSIONAIS DA ADVOCACIA, SEM CONSTITUIR DIREITO SUBJETIVO. AGRAVO A QUE SE NEGA PROVIMENTO.</w:t>
      </w:r>
    </w:p>
    <w:p w:rsidR="00000000" w:rsidDel="00000000" w:rsidP="00000000" w:rsidRDefault="00000000" w:rsidRPr="00000000" w14:paraId="000000C4">
      <w:pPr>
        <w:spacing w:after="0" w:before="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(STF - AgRg no RO em HC 171.571 - 2.ª Turma - j. 6/8/2019 - julgado por Ricardo Lewandowski - DJe 16/8/2019 - Área do Direito: Penal; Processual)</w:t>
      </w:r>
    </w:p>
    <w:p w:rsidR="00000000" w:rsidDel="00000000" w:rsidP="00000000" w:rsidRDefault="00000000" w:rsidRPr="00000000" w14:paraId="000000C5">
      <w:pPr>
        <w:spacing w:after="0" w:before="0" w:line="240" w:lineRule="auto"/>
        <w:ind w:left="2267" w:firstLine="0"/>
        <w:jc w:val="right"/>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(grifo nosso)</w:t>
      </w:r>
    </w:p>
    <w:p w:rsidR="00000000" w:rsidDel="00000000" w:rsidP="00000000" w:rsidRDefault="00000000" w:rsidRPr="00000000" w14:paraId="000000C6">
      <w:pPr>
        <w:spacing w:after="0" w:before="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C7">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 tema, o Tribunal de Justiça do Estado do Paraná:</w:t>
      </w:r>
    </w:p>
    <w:p w:rsidR="00000000" w:rsidDel="00000000" w:rsidP="00000000" w:rsidRDefault="00000000" w:rsidRPr="00000000" w14:paraId="000000C8">
      <w:pPr>
        <w:spacing w:after="0" w:before="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highlight w:val="white"/>
          <w:rtl w:val="0"/>
        </w:rPr>
        <w:t xml:space="preserve">HABEAS CORPUS. HOMICÍDIOS CULPOSOS COMETIDOS NA DIREÇÃO DE VEÍCULO AUTOMOTOR (ART. 302, CAPUT, C.C. O ART. 298, INCISOS I E V, AMBOS DO CTB – POR DUAS VEZES). ALEGAÇÃO DE CONSTRANGIMENTO ILEGAL POR NULIDADE DO INTERROGATÓRIO EXTRAJUDICIAL DO PACIENTE, EM RAZÃO DE NÃO TER SIDO ACOMPANHADO POR ADVOGADO. INOCORRÊNCIA. DIREITOS CONSTITUCIONAIS DO PACIENTE DEVIDAMENTE ASSEGURADOS. </w:t>
      </w:r>
      <w:r w:rsidDel="00000000" w:rsidR="00000000" w:rsidRPr="00000000">
        <w:rPr>
          <w:rFonts w:ascii="Times New Roman" w:cs="Times New Roman" w:eastAsia="Times New Roman" w:hAnsi="Times New Roman"/>
          <w:b w:val="1"/>
          <w:sz w:val="20"/>
          <w:szCs w:val="20"/>
          <w:highlight w:val="white"/>
          <w:rtl w:val="0"/>
        </w:rPr>
        <w:t xml:space="preserve">EVENTUAIS VÍCIOS NAS PEÇAS DO INQUÉRITO POLICIAL QUE NÃO MACULAM A AÇÃO PENAL. ORDEM DENEGADA</w:t>
      </w:r>
      <w:r w:rsidDel="00000000" w:rsidR="00000000" w:rsidRPr="00000000">
        <w:rPr>
          <w:rtl w:val="0"/>
        </w:rPr>
      </w:r>
    </w:p>
    <w:p w:rsidR="00000000" w:rsidDel="00000000" w:rsidP="00000000" w:rsidRDefault="00000000" w:rsidRPr="00000000" w14:paraId="000000C9">
      <w:pPr>
        <w:spacing w:after="0" w:before="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(TJPR - HC 0008705-39.2018.8.16.0000 - 1.ª Câmara Criminal - j. 12/4/2018 - julgado por Miguel Kfouri Neto - DJe 16/4/2018 - Área do Direito: Penal)</w:t>
      </w:r>
    </w:p>
    <w:p w:rsidR="00000000" w:rsidDel="00000000" w:rsidP="00000000" w:rsidRDefault="00000000" w:rsidRPr="00000000" w14:paraId="000000CA">
      <w:pPr>
        <w:spacing w:after="0" w:before="0" w:line="360" w:lineRule="auto"/>
        <w:ind w:left="2267" w:firstLine="0"/>
        <w:jc w:val="right"/>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(grifo nosso)</w:t>
      </w:r>
    </w:p>
    <w:p w:rsidR="00000000" w:rsidDel="00000000" w:rsidP="00000000" w:rsidRDefault="00000000" w:rsidRPr="00000000" w14:paraId="000000CB">
      <w:pPr>
        <w:spacing w:after="0" w:before="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CC">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no caso em epígrafe, o processo criminal não poderá ser anulado, visto que o inquérito policial é fase independente na qual não há contraditório e ampla defesa, tratando-se de procedimento dispensável para a proposição da ação penal. Desse modo, o interrogatório do acusado deve ser colhido novamente no processo criminal, com a obrigatória presença de seu defensor e, assim, não há que se falar em nulidade do processo criminal.</w:t>
      </w:r>
    </w:p>
    <w:p w:rsidR="00000000" w:rsidDel="00000000" w:rsidP="00000000" w:rsidRDefault="00000000" w:rsidRPr="00000000" w14:paraId="000000CD">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numPr>
          <w:ilvl w:val="0"/>
          <w:numId w:val="2"/>
        </w:numPr>
        <w:spacing w:after="200" w:before="0" w:line="360" w:lineRule="auto"/>
        <w:ind w:left="720" w:hanging="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 cumprimento integral da pena pelo crime de estupro de vulnerável em regime fechado.</w:t>
      </w:r>
    </w:p>
    <w:p w:rsidR="00000000" w:rsidDel="00000000" w:rsidP="00000000" w:rsidRDefault="00000000" w:rsidRPr="00000000" w14:paraId="000000CF">
      <w:pPr>
        <w:spacing w:after="0" w:before="0" w:line="360" w:lineRule="auto"/>
        <w:ind w:firstLine="72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rtl w:val="0"/>
        </w:rPr>
        <w:t xml:space="preserve">A aplicação da pena tem como objetivo a reabilitação e reeducação do condenado ao convívio social conforme disposto no item 6 do art. 5º da Convenção Americana sobre Direitos Humanos: “As penas privativas de liberdade devem ter por finalidade essencial a reforma e a readaptação social dos condenados”. Dessa forma, um dos princípios mais importantes para a análise do caso trazido pela consulente é o da individualização da pena que, positivado no art. 5º, XLVI, da Constituição Federal, </w:t>
      </w:r>
      <w:r w:rsidDel="00000000" w:rsidR="00000000" w:rsidRPr="00000000">
        <w:rPr>
          <w:rFonts w:ascii="Times New Roman" w:cs="Times New Roman" w:eastAsia="Times New Roman" w:hAnsi="Times New Roman"/>
          <w:sz w:val="24"/>
          <w:szCs w:val="24"/>
          <w:highlight w:val="white"/>
          <w:rtl w:val="0"/>
        </w:rPr>
        <w:t xml:space="preserve">dispõe que a lei deverá, no momento da fixação das penas, considerar as particularidades e culpabilidade de cada acusado no caso concreto. </w:t>
      </w:r>
      <w:r w:rsidDel="00000000" w:rsidR="00000000" w:rsidRPr="00000000">
        <w:rPr>
          <w:rtl w:val="0"/>
        </w:rPr>
      </w:r>
    </w:p>
    <w:p w:rsidR="00000000" w:rsidDel="00000000" w:rsidP="00000000" w:rsidRDefault="00000000" w:rsidRPr="00000000" w14:paraId="000000D0">
      <w:pPr>
        <w:spacing w:after="0" w:before="0" w:line="360" w:lineRule="auto"/>
        <w:ind w:firstLine="72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Assim, de acordo com a teoria geral da pena, existem regimes para o cumprimento das mesmas, os quais serão impostos a depender da dosimetria feita pelo aplicador da lei, são eles: o regime fechado, cujo cumprimento de pena é em estabelecimento de segurança máxima ou média; o semiaberto, cujo cumprimento é em colônia penal agrícola ou industrial; e o aberto, cujo cumprimento se dá em casa de albergado ou estabelecimento similar. </w:t>
      </w:r>
      <w:r w:rsidDel="00000000" w:rsidR="00000000" w:rsidRPr="00000000">
        <w:rPr>
          <w:rtl w:val="0"/>
        </w:rPr>
      </w:r>
    </w:p>
    <w:p w:rsidR="00000000" w:rsidDel="00000000" w:rsidP="00000000" w:rsidRDefault="00000000" w:rsidRPr="00000000" w14:paraId="000000D1">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o advento da Lei nº 7.209/1984 e da Lei de Execução Penal (Lei  nº 7.210/1984), passou-se a admitir a progressão de regime que, em resumo, é a passagem do condenado do regime mais grave para um regime mais brando, objetivando-se melhorar a sua ressocialização. Assim, se o sentenciado cumprir os requisitos legais, mormente em relação ao percentual de pena efetivamente cumprida, fará jus à progressão de regime nos termos do art. 112 da LEP. Sobre o tema, Guilherme de Souza Nucci (p. 616, 2022) discorre que:</w:t>
      </w:r>
    </w:p>
    <w:p w:rsidR="00000000" w:rsidDel="00000000" w:rsidP="00000000" w:rsidRDefault="00000000" w:rsidRPr="00000000" w14:paraId="000000D2">
      <w:pPr>
        <w:shd w:fill="ffffff" w:val="clear"/>
        <w:spacing w:after="300" w:before="30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Há viabilidade de progressão para qualquer crime, bastando respeitar os montantes previstos no art. 112 da Lei de Execução Penal em suas frações diferenciadas para delitos diversos (hediondos e equiparados ou comuns, violentos ou não) com agentes de condições diferentes (primários ou reincidentes).</w:t>
      </w:r>
      <w:r w:rsidDel="00000000" w:rsidR="00000000" w:rsidRPr="00000000">
        <w:rPr>
          <w:rtl w:val="0"/>
        </w:rPr>
      </w:r>
    </w:p>
    <w:p w:rsidR="00000000" w:rsidDel="00000000" w:rsidP="00000000" w:rsidRDefault="00000000" w:rsidRPr="00000000" w14:paraId="000000D3">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No caso em análise, a consulente Lívia questiona se seu tio, Sérgio Lorota, se condenado pelo crime de estupro de vulnerável, cumprirá integralmente a pena no presídio. Para essa análise, insta salientar que, segundo a Lei nº 8.072/1990, o estupro de vulnerável é considerado hediondo:</w:t>
      </w:r>
    </w:p>
    <w:p w:rsidR="00000000" w:rsidDel="00000000" w:rsidP="00000000" w:rsidRDefault="00000000" w:rsidRPr="00000000" w14:paraId="000000D4">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São considerados hediondos os seguintes crimes, todos tipificados no Decreto-Lei n</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2.848, de 7 de dezembro de 1940 - Código Penal, consumados ou tentados</w:t>
      </w:r>
    </w:p>
    <w:p w:rsidR="00000000" w:rsidDel="00000000" w:rsidP="00000000" w:rsidRDefault="00000000" w:rsidRPr="00000000" w14:paraId="000000D5">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D6">
      <w:pPr>
        <w:spacing w:after="240" w:before="24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highlight w:val="white"/>
          <w:rtl w:val="0"/>
        </w:rPr>
        <w:t xml:space="preserve">VI - estupro de vulnerável (art. 217-A, caput</w:t>
      </w:r>
      <w:r w:rsidDel="00000000" w:rsidR="00000000" w:rsidRPr="00000000">
        <w:rPr>
          <w:rFonts w:ascii="Times New Roman" w:cs="Times New Roman" w:eastAsia="Times New Roman" w:hAnsi="Times New Roman"/>
          <w:i w:val="1"/>
          <w:sz w:val="20"/>
          <w:szCs w:val="20"/>
          <w:highlight w:val="white"/>
          <w:rtl w:val="0"/>
        </w:rPr>
        <w:t xml:space="preserve"> </w:t>
      </w:r>
      <w:r w:rsidDel="00000000" w:rsidR="00000000" w:rsidRPr="00000000">
        <w:rPr>
          <w:rFonts w:ascii="Times New Roman" w:cs="Times New Roman" w:eastAsia="Times New Roman" w:hAnsi="Times New Roman"/>
          <w:sz w:val="20"/>
          <w:szCs w:val="20"/>
          <w:highlight w:val="white"/>
          <w:rtl w:val="0"/>
        </w:rPr>
        <w:t xml:space="preserve">e §§ 1</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2</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3</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e 4</w:t>
      </w:r>
      <w:r w:rsidDel="00000000" w:rsidR="00000000" w:rsidRPr="00000000">
        <w:rPr>
          <w:rFonts w:ascii="Times New Roman" w:cs="Times New Roman" w:eastAsia="Times New Roman" w:hAnsi="Times New Roman"/>
          <w:sz w:val="20"/>
          <w:szCs w:val="20"/>
          <w:highlight w:val="white"/>
          <w:u w:val="singl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w:t>
        <w:tab/>
        <w:t xml:space="preserve">   (Redação dada pela Lei nº 12.015, de 2009)</w:t>
      </w:r>
      <w:r w:rsidDel="00000000" w:rsidR="00000000" w:rsidRPr="00000000">
        <w:rPr>
          <w:rtl w:val="0"/>
        </w:rPr>
      </w:r>
    </w:p>
    <w:p w:rsidR="00000000" w:rsidDel="00000000" w:rsidP="00000000" w:rsidRDefault="00000000" w:rsidRPr="00000000" w14:paraId="000000D7">
      <w:pPr>
        <w:spacing w:after="0" w:before="0" w:line="360" w:lineRule="auto"/>
        <w:ind w:firstLine="720"/>
        <w:jc w:val="both"/>
        <w:rPr>
          <w:rFonts w:ascii="Times New Roman" w:cs="Times New Roman" w:eastAsia="Times New Roman" w:hAnsi="Times New Roman"/>
          <w:sz w:val="20"/>
          <w:szCs w:val="20"/>
          <w:highlight w:val="magenta"/>
        </w:rPr>
      </w:pPr>
      <w:r w:rsidDel="00000000" w:rsidR="00000000" w:rsidRPr="00000000">
        <w:rPr>
          <w:rFonts w:ascii="Times New Roman" w:cs="Times New Roman" w:eastAsia="Times New Roman" w:hAnsi="Times New Roman"/>
          <w:sz w:val="24"/>
          <w:szCs w:val="24"/>
          <w:rtl w:val="0"/>
        </w:rPr>
        <w:t xml:space="preserve">O crime de tráfico de drogas, por sua vez, também é considerado hediondo por equiparação, segundo jurisprudência do STJ:</w:t>
      </w:r>
      <w:r w:rsidDel="00000000" w:rsidR="00000000" w:rsidRPr="00000000">
        <w:rPr>
          <w:rtl w:val="0"/>
        </w:rPr>
      </w:r>
    </w:p>
    <w:p w:rsidR="00000000" w:rsidDel="00000000" w:rsidP="00000000" w:rsidRDefault="00000000" w:rsidRPr="00000000" w14:paraId="000000D8">
      <w:pPr>
        <w:shd w:fill="ffffff" w:val="clear"/>
        <w:spacing w:after="300" w:before="3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REGIMENTAL EM HABEAS CORPUS. EXECUÇÃO PENAL. NATUREZA DO DELITO DE TRÁFICO DE DROGAS. LEI N. 13.964/2019. EQUIPARAÇÃO A DELITOS HEDIONDOS. MAIOR GRAVIDADE APONTADA PELA PRÓPRIA CONSTITUIÇÃO DA REPÚBLICA DE 1988. PRECEDENTES DA QUINTA E DA SEXTA TURMAS DESTA CORTE. NECESSIDADE DE SE MANTER A DECISÃO MONOCRÁTICA QUE INDEFERE A INICIAL.</w:t>
      </w:r>
    </w:p>
    <w:p w:rsidR="00000000" w:rsidDel="00000000" w:rsidP="00000000" w:rsidRDefault="00000000" w:rsidRPr="00000000" w14:paraId="000000D9">
      <w:pPr>
        <w:shd w:fill="ffffff" w:val="clear"/>
        <w:spacing w:after="300" w:before="3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1. Os precedentes das duas Turmas que compõem a Terceira Seção do Superior Tribunal de Justiça são no sentido de que, diferentemente da conjuntura relativa ao tráfico privilegiado, a própria Constituição Federal, em seu art. 5°, XLIII, rotulou como mais graves, tal qual os crimes hediondos (a serem definidos por lei ordinária), os delitos de tortura, o tráfico ilícito de entorpecentes e o terrorismo. 2. Tal equiparação foi realizada pelo próprio constituinte originário, de modo que não se cogita a hipótese de que o Pacote Anticrime tenha afastado o caráter equiparado a hediondo do crime de tráfico de drogas (AgRg no HC n. 736.796/SC, Ministro Rogerio Schietti Cruz, Sexta Turma, DJe 16/5/2022). 3. Agravo regimental improvido.</w:t>
      </w:r>
    </w:p>
    <w:p w:rsidR="00000000" w:rsidDel="00000000" w:rsidP="00000000" w:rsidRDefault="00000000" w:rsidRPr="00000000" w14:paraId="000000DA">
      <w:pPr>
        <w:shd w:fill="ffffff" w:val="clear"/>
        <w:spacing w:after="300" w:before="3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(AgRg no HC n. 747.089/SP, relator Ministro Sebastião Reis Júnior, Sexta Turma, julgado em 21/6/2022, DJe de 27/6/2022.)</w:t>
      </w:r>
    </w:p>
    <w:p w:rsidR="00000000" w:rsidDel="00000000" w:rsidP="00000000" w:rsidRDefault="00000000" w:rsidRPr="00000000" w14:paraId="000000DB">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no que concerne ao regime inicial a ser observado no cumprimento das penas dos crimes cometidos por “Lorota”, conforme disposição do §1º do artigo 2º da Lei dos Crimes Hediondos, a pena deverá ser cumprida inicialmente em regime fechado, não obstando, por consequência, a progressão de regime:</w:t>
      </w:r>
    </w:p>
    <w:p w:rsidR="00000000" w:rsidDel="00000000" w:rsidP="00000000" w:rsidRDefault="00000000" w:rsidRPr="00000000" w14:paraId="000000DC">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2º Os crimes hediondos, a prática da tortura, o tráfico ilícito de entorpecentes e drogas afins e o terrorismo são insuscetíveis de: [...] </w:t>
      </w:r>
    </w:p>
    <w:p w:rsidR="00000000" w:rsidDel="00000000" w:rsidP="00000000" w:rsidRDefault="00000000" w:rsidRPr="00000000" w14:paraId="000000DD">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1o  A pena por crime previsto neste artigo será cumprida inicialmente em regime fechado.   </w:t>
      </w:r>
    </w:p>
    <w:p w:rsidR="00000000" w:rsidDel="00000000" w:rsidP="00000000" w:rsidRDefault="00000000" w:rsidRPr="00000000" w14:paraId="000000DE">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Importante destacar que a antiga redação do artigo supracitado, previa que as penas cominadas para os crimes hediondos deveriam ser cumpridas integralmente em regime fechado. </w:t>
      </w:r>
      <w:r w:rsidDel="00000000" w:rsidR="00000000" w:rsidRPr="00000000">
        <w:rPr>
          <w:rFonts w:ascii="Times New Roman" w:cs="Times New Roman" w:eastAsia="Times New Roman" w:hAnsi="Times New Roman"/>
          <w:sz w:val="24"/>
          <w:szCs w:val="24"/>
          <w:highlight w:val="white"/>
          <w:rtl w:val="0"/>
        </w:rPr>
        <w:t xml:space="preserve">Todavia, o Supremo Tribunal Federal, ao julgar a constitucionalidade do referido artigo, considerou que tal disposição não coaduna com os princípios da dignidade da pessoa humana e da individualização da pena. Acerca disso discorrem</w:t>
      </w:r>
      <w:r w:rsidDel="00000000" w:rsidR="00000000" w:rsidRPr="00000000">
        <w:rPr>
          <w:rFonts w:ascii="Times New Roman" w:cs="Times New Roman" w:eastAsia="Times New Roman" w:hAnsi="Times New Roman"/>
          <w:sz w:val="24"/>
          <w:szCs w:val="24"/>
          <w:rtl w:val="0"/>
        </w:rPr>
        <w:t xml:space="preserve"> André Estefam e Victor Eduardo Rios Gonçalves (p. 547, 2022):</w:t>
      </w:r>
    </w:p>
    <w:p w:rsidR="00000000" w:rsidDel="00000000" w:rsidP="00000000" w:rsidRDefault="00000000" w:rsidRPr="00000000" w14:paraId="000000DF">
      <w:pPr>
        <w:spacing w:after="0" w:before="0" w:line="276" w:lineRule="auto"/>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E0">
      <w:pPr>
        <w:spacing w:after="0" w:before="0" w:line="276"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 efeito, ao julgar o Habeas Corpus 82.959, em 23 de fevereiro de 2006, decidiu a Corte Suprema ser inconstitucional a redação originária do art. 2º, § 1º, da Lei n. 8.072/90 (Lei dos Crimes Hediondos), que determinava que, para os delitos hediondos, tráfico de drogas, terrorismo e tortura, a pena deveria ser cumprida integralmente em regime fechado. Entenderam os ministros do Supremo Tribunal Federal que a vedação à progressão de regime feria o princípio da individualização da pena e também o da dignidade humana. </w:t>
      </w:r>
    </w:p>
    <w:p w:rsidR="00000000" w:rsidDel="00000000" w:rsidP="00000000" w:rsidRDefault="00000000" w:rsidRPr="00000000" w14:paraId="000000E1">
      <w:pPr>
        <w:shd w:fill="ffffff" w:val="clear"/>
        <w:spacing w:after="300" w:before="3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exposto, considerando que o estupro de vulnerável é um crime hediondo e o tráfico de drogas equiparado a hediondo, Sérgio Lorota é reincidente na prática de crimes hediondos e, dessa forma, conforme expresso na Lei de Execução Penal, art. 112, VII, para a progressão de regime deverá cumprir 60% da pena inicialmente em regime fechado:</w:t>
      </w:r>
    </w:p>
    <w:p w:rsidR="00000000" w:rsidDel="00000000" w:rsidP="00000000" w:rsidRDefault="00000000" w:rsidRPr="00000000" w14:paraId="000000E2">
      <w:pPr>
        <w:shd w:fill="ffffff" w:val="clear"/>
        <w:spacing w:after="300" w:before="3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Art. 112. A pena privativa de liberdade será executada em forma progressiva com a transferência para regime menos rigoroso, a ser determinada pelo juiz, quando o preso tiver cumprido ao menos:    </w:t>
      </w:r>
      <w:r w:rsidDel="00000000" w:rsidR="00000000" w:rsidRPr="00000000">
        <w:rPr>
          <w:rFonts w:ascii="Times New Roman" w:cs="Times New Roman" w:eastAsia="Times New Roman" w:hAnsi="Times New Roman"/>
          <w:sz w:val="20"/>
          <w:szCs w:val="20"/>
          <w:highlight w:val="white"/>
          <w:u w:val="none"/>
          <w:rtl w:val="0"/>
        </w:rPr>
        <w:t xml:space="preserve">(Redação dada pela Lei nº 13.964, de 2019)        </w:t>
      </w:r>
      <w:hyperlink r:id="rId14">
        <w:r w:rsidDel="00000000" w:rsidR="00000000" w:rsidRPr="00000000">
          <w:rPr>
            <w:rFonts w:ascii="Times New Roman" w:cs="Times New Roman" w:eastAsia="Times New Roman" w:hAnsi="Times New Roman"/>
            <w:sz w:val="20"/>
            <w:szCs w:val="20"/>
            <w:highlight w:val="white"/>
            <w:u w:val="none"/>
            <w:rtl w:val="0"/>
          </w:rPr>
          <w:t xml:space="preserve">(Vigência)</w:t>
        </w:r>
      </w:hyperlink>
      <w:r w:rsidDel="00000000" w:rsidR="00000000" w:rsidRPr="00000000">
        <w:rPr>
          <w:rtl w:val="0"/>
        </w:rPr>
      </w:r>
    </w:p>
    <w:p w:rsidR="00000000" w:rsidDel="00000000" w:rsidP="00000000" w:rsidRDefault="00000000" w:rsidRPr="00000000" w14:paraId="000000E3">
      <w:pPr>
        <w:shd w:fill="ffffff" w:val="clear"/>
        <w:spacing w:after="300" w:before="3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E4">
      <w:pPr>
        <w:shd w:fill="ffffff" w:val="clear"/>
        <w:spacing w:after="300" w:before="3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VII - 6</w:t>
      </w:r>
      <w:r w:rsidDel="00000000" w:rsidR="00000000" w:rsidRPr="00000000">
        <w:rPr>
          <w:rFonts w:ascii="Times New Roman" w:cs="Times New Roman" w:eastAsia="Times New Roman" w:hAnsi="Times New Roman"/>
          <w:sz w:val="20"/>
          <w:szCs w:val="20"/>
          <w:rtl w:val="0"/>
        </w:rPr>
        <w:t xml:space="preserve">0% (sessenta por cento) da pena, se o apenado for reincidente na prática de crime hediondo ou equiparado;     </w:t>
      </w:r>
      <w:hyperlink r:id="rId15">
        <w:r w:rsidDel="00000000" w:rsidR="00000000" w:rsidRPr="00000000">
          <w:rPr>
            <w:rFonts w:ascii="Times New Roman" w:cs="Times New Roman" w:eastAsia="Times New Roman" w:hAnsi="Times New Roman"/>
            <w:sz w:val="20"/>
            <w:szCs w:val="20"/>
            <w:rtl w:val="0"/>
          </w:rPr>
          <w:t xml:space="preserve">(Incluído pela Lei nº 13.964, de 2019)</w:t>
        </w:r>
      </w:hyperlink>
      <w:r w:rsidDel="00000000" w:rsidR="00000000" w:rsidRPr="00000000">
        <w:rPr>
          <w:rFonts w:ascii="Times New Roman" w:cs="Times New Roman" w:eastAsia="Times New Roman" w:hAnsi="Times New Roman"/>
          <w:sz w:val="20"/>
          <w:szCs w:val="20"/>
          <w:rtl w:val="0"/>
        </w:rPr>
        <w:t xml:space="preserve">        </w:t>
      </w:r>
      <w:hyperlink r:id="rId16">
        <w:r w:rsidDel="00000000" w:rsidR="00000000" w:rsidRPr="00000000">
          <w:rPr>
            <w:rFonts w:ascii="Times New Roman" w:cs="Times New Roman" w:eastAsia="Times New Roman" w:hAnsi="Times New Roman"/>
            <w:sz w:val="20"/>
            <w:szCs w:val="20"/>
            <w:rtl w:val="0"/>
          </w:rPr>
          <w:t xml:space="preserve">(Vigência)</w:t>
        </w:r>
      </w:hyperlink>
      <w:r w:rsidDel="00000000" w:rsidR="00000000" w:rsidRPr="00000000">
        <w:rPr>
          <w:rtl w:val="0"/>
        </w:rPr>
      </w:r>
    </w:p>
    <w:p w:rsidR="00000000" w:rsidDel="00000000" w:rsidP="00000000" w:rsidRDefault="00000000" w:rsidRPr="00000000" w14:paraId="000000E5">
      <w:pPr>
        <w:shd w:fill="ffffff" w:val="clear"/>
        <w:spacing w:after="300" w:before="300" w:line="240" w:lineRule="auto"/>
        <w:ind w:left="0" w:firstLine="720"/>
        <w:jc w:val="both"/>
        <w:rPr>
          <w:rFonts w:ascii="Times New Roman" w:cs="Times New Roman" w:eastAsia="Times New Roman" w:hAnsi="Times New Roman"/>
          <w:sz w:val="24"/>
          <w:szCs w:val="24"/>
          <w:highlight w:val="red"/>
        </w:rPr>
      </w:pPr>
      <w:r w:rsidDel="00000000" w:rsidR="00000000" w:rsidRPr="00000000">
        <w:rPr>
          <w:rFonts w:ascii="Times New Roman" w:cs="Times New Roman" w:eastAsia="Times New Roman" w:hAnsi="Times New Roman"/>
          <w:sz w:val="24"/>
          <w:szCs w:val="24"/>
          <w:rtl w:val="0"/>
        </w:rPr>
        <w:t xml:space="preserve">Este é o entendimento do Superior Tribunal de Justiça: </w:t>
      </w:r>
      <w:r w:rsidDel="00000000" w:rsidR="00000000" w:rsidRPr="00000000">
        <w:rPr>
          <w:rtl w:val="0"/>
        </w:rPr>
      </w:r>
    </w:p>
    <w:p w:rsidR="00000000" w:rsidDel="00000000" w:rsidP="00000000" w:rsidRDefault="00000000" w:rsidRPr="00000000" w14:paraId="000000E6">
      <w:pPr>
        <w:shd w:fill="ffffff" w:val="clear"/>
        <w:spacing w:after="300" w:before="3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REGIMENTAL EM HABEAS CORPUS SUBSTITUTIVO DE RECURSO PRÓPRIO. EXECUÇÃO PENAL DEFINITIVA. CÁLCULO DE PENA PARA PROGRESSÃO DE REGIME PRISIONAL. LEI 13.964/2019 (PACOTE ANTICRIME). PACIENTE CONDENADO POR TRÁFICO DE DROGAS CONSIDERADO REINCIDENTE EM VIRTUDE DE CONDENAÇÃO DEFINITIVA ANTERIOR PELO MESMO DELITO. NECESSIDADE DE CUMPRIMENTO DE 60% DA PENA. AGRAVO REGIMENTAL DESPROVIDO.</w:t>
      </w:r>
    </w:p>
    <w:p w:rsidR="00000000" w:rsidDel="00000000" w:rsidP="00000000" w:rsidRDefault="00000000" w:rsidRPr="00000000" w14:paraId="000000E7">
      <w:pPr>
        <w:shd w:fill="ffffff" w:val="clear"/>
        <w:spacing w:after="300" w:before="3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E8">
      <w:pPr>
        <w:shd w:fill="ffffff" w:val="clear"/>
        <w:spacing w:after="300" w:before="30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 A nova redação dada ao art. 112 da Lei de Execuções Penais, pela Lei 13.964/19, ao modificar os percentuais necessários para progressão de regime, estabelecendo critérios distintos e específicos para cada um dos patamares de acordo com a natureza ou características do crime, estabeleceu, expressamente, em seu inciso VII, que o condenado por crime hediondo sem resultado morte somente fará jus à progressão de regime após o cumprimento de 60% (sessenta por cento) da pena no caso de ser "reincidente na prática de crime hediondo ou equiparado".              </w:t>
      </w:r>
    </w:p>
    <w:p w:rsidR="00000000" w:rsidDel="00000000" w:rsidP="00000000" w:rsidRDefault="00000000" w:rsidRPr="00000000" w14:paraId="000000E9">
      <w:pPr>
        <w:shd w:fill="ffffff" w:val="clear"/>
        <w:spacing w:after="300" w:before="30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0EA">
      <w:pPr>
        <w:shd w:fill="ffffff" w:val="clear"/>
        <w:spacing w:after="300" w:before="30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6. Para tal hipótese - condenado por crime hediondo ou equiparado a hediondo, sem resultado morte, e reincidente em crime da mesma natureza -, o inciso VII do art. 112 da Lei de Execuções Penais (na redação da Lei 13.964/19) prevê, expressamente, que a progressão de regime ocorrerá após o cumprimento de 60% (sessenta por cento) da pena.</w:t>
      </w:r>
    </w:p>
    <w:p w:rsidR="00000000" w:rsidDel="00000000" w:rsidP="00000000" w:rsidRDefault="00000000" w:rsidRPr="00000000" w14:paraId="000000EB">
      <w:pPr>
        <w:shd w:fill="ffffff" w:val="clear"/>
        <w:spacing w:after="300" w:before="3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(AgRg no HC n. 771.344/SP, relator Ministro Reynaldo Soares da Fonseca, Quinta Turma, julgado em 27/9/2022, DJe de 4/10/2022.)                             </w:t>
      </w:r>
    </w:p>
    <w:p w:rsidR="00000000" w:rsidDel="00000000" w:rsidP="00000000" w:rsidRDefault="00000000" w:rsidRPr="00000000" w14:paraId="000000EC">
      <w:pPr>
        <w:shd w:fill="ffffff" w:val="clear"/>
        <w:spacing w:after="300" w:before="300" w:line="240" w:lineRule="auto"/>
        <w:ind w:left="2267" w:firstLine="0"/>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(grifo nosso)</w:t>
      </w:r>
    </w:p>
    <w:p w:rsidR="00000000" w:rsidDel="00000000" w:rsidP="00000000" w:rsidRDefault="00000000" w:rsidRPr="00000000" w14:paraId="000000ED">
      <w:pPr>
        <w:shd w:fill="ffffff" w:val="clear"/>
        <w:spacing w:after="300" w:before="300" w:line="360" w:lineRule="auto"/>
        <w:ind w:left="0" w:firstLine="720"/>
        <w:jc w:val="both"/>
        <w:rPr>
          <w:rFonts w:ascii="Times New Roman" w:cs="Times New Roman" w:eastAsia="Times New Roman" w:hAnsi="Times New Roman"/>
          <w:b w:val="1"/>
          <w:sz w:val="24"/>
          <w:szCs w:val="24"/>
          <w:highlight w:val="red"/>
        </w:rPr>
      </w:pP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Portanto, caso condenado ao crime de estupro de vulnerável, o tio da consulente terá direito à progressão de regime, com fundamento no artigo 112,VII, da Lei de Execução Penal e, dessa forma, em respeito aos princípios da individualização da pena e da dignidade humana, Lorota não cumprirá, em regra, a pena em regime fechado na sua totalidade.</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0EE">
      <w:pPr>
        <w:numPr>
          <w:ilvl w:val="0"/>
          <w:numId w:val="2"/>
        </w:numPr>
        <w:spacing w:after="200" w:before="0" w:line="360" w:lineRule="auto"/>
        <w:ind w:left="720" w:hanging="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regularidade do recurso interposto pela PNTM Financeira S.A adesivamente ao da consulente.</w:t>
      </w:r>
    </w:p>
    <w:p w:rsidR="00000000" w:rsidDel="00000000" w:rsidP="00000000" w:rsidRDefault="00000000" w:rsidRPr="00000000" w14:paraId="000000EF">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início, ressalte-se que recursos são os meios de impugnação das decisões judiciais utilizados pelas partes para demonstrar sua irresignação frente à tutela jurisdicional prestada com vistas ao reexame, anulação ou integração das referidas decisões pelo órgão </w:t>
      </w:r>
      <w:r w:rsidDel="00000000" w:rsidR="00000000" w:rsidRPr="00000000">
        <w:rPr>
          <w:rFonts w:ascii="Times New Roman" w:cs="Times New Roman" w:eastAsia="Times New Roman" w:hAnsi="Times New Roman"/>
          <w:i w:val="1"/>
          <w:sz w:val="24"/>
          <w:szCs w:val="24"/>
          <w:rtl w:val="0"/>
        </w:rPr>
        <w:t xml:space="preserve">ad quem</w:t>
      </w:r>
      <w:r w:rsidDel="00000000" w:rsidR="00000000" w:rsidRPr="00000000">
        <w:rPr>
          <w:rFonts w:ascii="Times New Roman" w:cs="Times New Roman" w:eastAsia="Times New Roman" w:hAnsi="Times New Roman"/>
          <w:sz w:val="24"/>
          <w:szCs w:val="24"/>
          <w:rtl w:val="0"/>
        </w:rPr>
        <w:t xml:space="preserve">, ou seja, aquele no qual será julgada a pretensão recursal.</w:t>
      </w:r>
    </w:p>
    <w:p w:rsidR="00000000" w:rsidDel="00000000" w:rsidP="00000000" w:rsidRDefault="00000000" w:rsidRPr="00000000" w14:paraId="000000F0">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ser conhecido pelo órgão revisor, o recurso deve preencher os chamados requisitos de admissibilidade, dentre os quais, para a análise do caso trazido pela consulente, faz-se mister destacar a tempestividade e o interesse recursal: a tempestividade diz respeito à observância do prazo estipulado em lei para interposição da impugnação, sob pena de preclusão; o interesse recursal, por sua vez, versa sobre a possibilidade de o provimento do recurso resultar em situação mais benéfica ao recorrente, o que só ocorrerá quando presente o instituto da sucumbência, o qual denota o insucesso, no todo ou em parte, do que foi pleiteado em juízo.</w:t>
      </w:r>
    </w:p>
    <w:p w:rsidR="00000000" w:rsidDel="00000000" w:rsidP="00000000" w:rsidRDefault="00000000" w:rsidRPr="00000000" w14:paraId="000000F1">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Dito isso, cumpre expor que a Lei nº 13.105 de 2015, a qual institui o Código de Processo Civil, estabelece em seu artigo 1.009 que o recurso cabível em face das sentenças - como no caso aqui tratado - é a apelação que, para ser conhecido, deverá preencher todos os requisitos de admissibilidade, inclusive o da tempestividade supracitado, posto que deverá ser interposto no prazo de 15 (quinze) dias contados da intimação do teor da sentença. Porém, com base na disposição de seu artigo 997, §1º, a lei processual também nos traz a possibilidade da apelação adesiva em seu artigo 1.010,  §2º, senão vejamos:</w:t>
      </w:r>
    </w:p>
    <w:p w:rsidR="00000000" w:rsidDel="00000000" w:rsidP="00000000" w:rsidRDefault="00000000" w:rsidRPr="00000000" w14:paraId="000000F2">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0F3">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Sendo vencidos autor e réu, ao recurso interposto por qualquer deles poderá aderir o outro.</w:t>
      </w:r>
    </w:p>
    <w:p w:rsidR="00000000" w:rsidDel="00000000" w:rsidP="00000000" w:rsidRDefault="00000000" w:rsidRPr="00000000" w14:paraId="000000F4">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1.010, § 2º: Se o apelado interpuser apelação adesiva, o juiz intimará o apelante para apresentar contrarrazões. </w:t>
      </w:r>
    </w:p>
    <w:p w:rsidR="00000000" w:rsidDel="00000000" w:rsidP="00000000" w:rsidRDefault="00000000" w:rsidRPr="00000000" w14:paraId="000000F5">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recurso de apelação adesiva, portanto, é um remédio processual cabível quando ambas as partes foram vencidas (sucumbência recíproca) e apenas uma delas interpuser recurso de forma autônoma. Com relação à tempestividade, ele poderá, portanto, ser interposto após decorrido o prazo regular para interposição de recurso pelos litigantes, mais precisamente no prazo disposto para apresentação de contrarrazões. Este é o entendimento do Tribunal de Justiça do Estado de São Paulo:</w:t>
      </w:r>
    </w:p>
    <w:p w:rsidR="00000000" w:rsidDel="00000000" w:rsidP="00000000" w:rsidRDefault="00000000" w:rsidRPr="00000000" w14:paraId="000000F7">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CONTRARRAZÕES DE APELAÇÃO DOS AUTORES. QUESTÃO PRELIMINAR DE INTEMPESTIVIDADE DO APELO DA CORRÉ ASPAS TURISMO. POSSIBILIDADE DE RECEBIMENTO DO RECURSO COMO ADESIVO. PRELIMINAR REJEITADA. </w:t>
      </w:r>
    </w:p>
    <w:p w:rsidR="00000000" w:rsidDel="00000000" w:rsidP="00000000" w:rsidRDefault="00000000" w:rsidRPr="00000000" w14:paraId="000000F8">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No caso, independentemente da discussão acerca da verossimilhança das justificativas apresentadas pela patrona da corré-apelante, constata-se que foi protocolado dentro do prazo para interposição de recurso adesivo previsto no art. 997, §§ 1º e 2º, do Código de Processo Civil (CPC). Logo, pode e deve ser assim recebido, não subsistindo a preliminar de intempestividade arguida em contrarrazões. [...]</w:t>
      </w:r>
    </w:p>
    <w:p w:rsidR="00000000" w:rsidDel="00000000" w:rsidP="00000000" w:rsidRDefault="00000000" w:rsidRPr="00000000" w14:paraId="000000F9">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Apelação Cível 1015755-42.2020.8.26.0068; Relator (a): Adilson de Araujo; Órgão Julgador: 31ª Câmara de Direito Privado; Foro de Barueri - 1ª Vara Cível; Data do Julgamento: 20/10/2022; Data de Registro: 20/10/2022)</w:t>
      </w:r>
    </w:p>
    <w:p w:rsidR="00000000" w:rsidDel="00000000" w:rsidP="00000000" w:rsidRDefault="00000000" w:rsidRPr="00000000" w14:paraId="000000FA">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B">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em regra, na hipótese de sentença parcialmente procedente, na qual ambas as partes têm seus pedidos concedidos e negados, as partes devem interpor seus próprios recursos de forma independente, com observância das exigências legais. No entanto, na hipótese de o autor ou o réu resignar-se com a sentença prolatada e ser surpreendido por um recurso interposto pelo adversário, é possível que o requerente interponha o recurso adesivo. Segundo Humberto Theodoro Júnior (2022, p. 895):</w:t>
      </w:r>
    </w:p>
    <w:p w:rsidR="00000000" w:rsidDel="00000000" w:rsidP="00000000" w:rsidRDefault="00000000" w:rsidRPr="00000000" w14:paraId="000000FC">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obviar tais inconvenientes, admite o Código que o recorrido faça sua adesão ao recurso da parte contrária, depois de vencido o prazo adequado para o recurso próprio. Adesão, na espécie, não quer dizer que o recorrente esteja aceitando o teor e as razões do apelo da parte contrária. Significa, apenas, que o novo recorrente se vale da existência do recurso do adversário para legitimar a interposição do seu, fora do tempo legal.</w:t>
      </w:r>
    </w:p>
    <w:p w:rsidR="00000000" w:rsidDel="00000000" w:rsidP="00000000" w:rsidRDefault="00000000" w:rsidRPr="00000000" w14:paraId="000000FD">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E">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Ressalta-se que, conforme preceitua o CPC, o recurso adesivo é dependente do recurso principal e, devido a isso, caso o recurso principal não seja conhecido, o adesivo também não será. Nos ensinamentos de Eduardo Arruda Alvim (p. 864, 2022):</w:t>
      </w:r>
    </w:p>
    <w:p w:rsidR="00000000" w:rsidDel="00000000" w:rsidP="00000000" w:rsidRDefault="00000000" w:rsidRPr="00000000" w14:paraId="000000FF">
      <w:pPr>
        <w:spacing w:after="0" w:before="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Dissemos que o recurso adesivo é inteiramente subordinado ao recurso principal. Quer isto significar que é necessário que o recurso principal seja conhecido, para que, então, possa ser também conhecido (se preenchidos os requisitos de admissibilidade), o recurso interposto adesivamente; se houver desistência ou se o mesmo for inadmissível ou deserto, o adesivo não será conhecido (art. 997, § 2o, III, do CPC). </w:t>
      </w:r>
      <w:r w:rsidDel="00000000" w:rsidR="00000000" w:rsidRPr="00000000">
        <w:rPr>
          <w:rtl w:val="0"/>
        </w:rPr>
      </w:r>
    </w:p>
    <w:p w:rsidR="00000000" w:rsidDel="00000000" w:rsidP="00000000" w:rsidRDefault="00000000" w:rsidRPr="00000000" w14:paraId="00000100">
      <w:pPr>
        <w:spacing w:after="0" w:before="0" w:line="24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destaca-se que o recurso adesivo não é uma espécie de recurso e sim um modo de interposição. Conforme Marcus Vinicius Rios Gonçalves (2022, p. 986):</w:t>
      </w:r>
    </w:p>
    <w:p w:rsidR="00000000" w:rsidDel="00000000" w:rsidP="00000000" w:rsidRDefault="00000000" w:rsidRPr="00000000" w14:paraId="00000102">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adesivo não é uma espécie, mas uma forma de interposição de alguns recursos. Podem ser opostos sob a forma adesiva a apelação, o recurso especial e o extraordinário.</w:t>
      </w:r>
    </w:p>
    <w:p w:rsidR="00000000" w:rsidDel="00000000" w:rsidP="00000000" w:rsidRDefault="00000000" w:rsidRPr="00000000" w14:paraId="00000103">
      <w:pPr>
        <w:spacing w:after="0" w:before="0" w:line="240" w:lineRule="auto"/>
        <w:ind w:left="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4">
      <w:pPr>
        <w:spacing w:after="0" w:before="0" w:line="240" w:lineRule="auto"/>
        <w:ind w:left="0"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Igual é o entendimento de Luiz Fux (p. 901, 2022):</w:t>
      </w:r>
    </w:p>
    <w:p w:rsidR="00000000" w:rsidDel="00000000" w:rsidP="00000000" w:rsidRDefault="00000000" w:rsidRPr="00000000" w14:paraId="00000105">
      <w:pPr>
        <w:spacing w:after="0" w:before="0" w:line="240" w:lineRule="auto"/>
        <w:ind w:left="0"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adesivo não é uma espécie em si de recurso; por isso, além de a ele se aplicarem as mesmas regras do recurso independente, é cabível na apelação, no recurso especial e no recurso extraordinário (art. 997, § 2º, I, do CPC). </w:t>
      </w:r>
    </w:p>
    <w:p w:rsidR="00000000" w:rsidDel="00000000" w:rsidP="00000000" w:rsidRDefault="00000000" w:rsidRPr="00000000" w14:paraId="00000107">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questão acerca da natureza do recurso adesivo e sua dependência formal ao principal também é corroborada pela jurisprudência do Superior Tribunal de Justiça:</w:t>
      </w:r>
    </w:p>
    <w:p w:rsidR="00000000" w:rsidDel="00000000" w:rsidP="00000000" w:rsidRDefault="00000000" w:rsidRPr="00000000" w14:paraId="00000109">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PROCESSUAL CIVIL. RECURSO ADESIVO. REQUISITOS DE ADMISSIBILIDADE. </w:t>
      </w:r>
    </w:p>
    <w:p w:rsidR="00000000" w:rsidDel="00000000" w:rsidP="00000000" w:rsidRDefault="00000000" w:rsidRPr="00000000" w14:paraId="0000010A">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Controvérsia em torno da necessidade de a matéria devolvida no recurso adesivamente interposto guardar relação com a matéria discutida no recurso principal. </w:t>
      </w:r>
      <w:r w:rsidDel="00000000" w:rsidR="00000000" w:rsidRPr="00000000">
        <w:rPr>
          <w:rFonts w:ascii="Times New Roman" w:cs="Times New Roman" w:eastAsia="Times New Roman" w:hAnsi="Times New Roman"/>
          <w:b w:val="1"/>
          <w:sz w:val="20"/>
          <w:szCs w:val="20"/>
          <w:rtl w:val="0"/>
        </w:rPr>
        <w:t xml:space="preserve">2. O recurso adesivo não constitui modalidade recursal diversa daquela a que adere, tendo apenas uma forma de interposição diferente daquela ordinariamente utilizada quanto ao recurso principal (recurso-tipo).</w:t>
      </w:r>
      <w:r w:rsidDel="00000000" w:rsidR="00000000" w:rsidRPr="00000000">
        <w:rPr>
          <w:rFonts w:ascii="Times New Roman" w:cs="Times New Roman" w:eastAsia="Times New Roman" w:hAnsi="Times New Roman"/>
          <w:sz w:val="20"/>
          <w:szCs w:val="20"/>
          <w:rtl w:val="0"/>
        </w:rPr>
        <w:t xml:space="preserve"> 3. A irresignação é manejada fora do seu prazo normal, aproveitando o prazo para contrarrazões em relação ao recurso interposto pela parte adversa. 4. Não decorria do Código de Processo Civil de 1973 (art. 500), nem decorre do atual estatuto processual (art. 997), interpretação que corrobore estar dentro dos requisitos de admissibilidade do recurso adesivo a existência de subordinação à matéria devolvida no recurso principal. 5. Não há restrição em relação ao conteúdo da irresignação manejada na via adesiva, podendo o recorrente suscitar tudo o que arguiria acaso tivesse interposto o recurso de apelação, o recurso especial ou o recurso extraordinário na via normal. 6. A subordinação legalmente prevista é apenas formal, estando adstrita à admissibilidade do recurso principal. 7. RECURSO ESPECIAL PROVIDO. </w:t>
      </w:r>
    </w:p>
    <w:p w:rsidR="00000000" w:rsidDel="00000000" w:rsidP="00000000" w:rsidRDefault="00000000" w:rsidRPr="00000000" w14:paraId="0000010B">
      <w:pPr>
        <w:spacing w:after="0" w:before="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(REsp n. 1.675.996/SP, relator Ministro Paulo de Tarso Sanseverino, Terceira Turma, julgado em 27/8/2019, DJe de 3/9/2019.)</w:t>
      </w:r>
    </w:p>
    <w:p w:rsidR="00000000" w:rsidDel="00000000" w:rsidP="00000000" w:rsidRDefault="00000000" w:rsidRPr="00000000" w14:paraId="0000010C">
      <w:pPr>
        <w:spacing w:after="0" w:before="0" w:line="240" w:lineRule="auto"/>
        <w:ind w:left="2267" w:firstLine="0"/>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10D">
      <w:pPr>
        <w:spacing w:after="0" w:before="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spacing w:after="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no caso em epígrafe, o recurso de apelação adesiva da financeira, ainda que interposto após o prazo legal do recurso principal, se protocolado no interregno de 15 (quinze) dias da intimação para apresentação de contrarrazões à apelação e preenchidos os demais requisitos legais estabelecidos na legislação processual, poderá sim ser eventualmente conhecido, a depender da tramitação do recurso da consulente.</w:t>
      </w:r>
    </w:p>
    <w:p w:rsidR="00000000" w:rsidDel="00000000" w:rsidP="00000000" w:rsidRDefault="00000000" w:rsidRPr="00000000" w14:paraId="0000010F">
      <w:pPr>
        <w:spacing w:after="200" w:before="0"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0">
      <w:pPr>
        <w:numPr>
          <w:ilvl w:val="0"/>
          <w:numId w:val="2"/>
        </w:numPr>
        <w:spacing w:after="200" w:before="0" w:line="360" w:lineRule="auto"/>
        <w:ind w:left="720" w:hanging="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admissão da cláusula </w:t>
      </w:r>
      <w:r w:rsidDel="00000000" w:rsidR="00000000" w:rsidRPr="00000000">
        <w:rPr>
          <w:rFonts w:ascii="Times New Roman" w:cs="Times New Roman" w:eastAsia="Times New Roman" w:hAnsi="Times New Roman"/>
          <w:b w:val="1"/>
          <w:i w:val="1"/>
          <w:sz w:val="24"/>
          <w:szCs w:val="24"/>
          <w:rtl w:val="0"/>
        </w:rPr>
        <w:t xml:space="preserve">quota litis</w:t>
      </w:r>
      <w:r w:rsidDel="00000000" w:rsidR="00000000" w:rsidRPr="00000000">
        <w:rPr>
          <w:rFonts w:ascii="Times New Roman" w:cs="Times New Roman" w:eastAsia="Times New Roman" w:hAnsi="Times New Roman"/>
          <w:b w:val="1"/>
          <w:sz w:val="24"/>
          <w:szCs w:val="24"/>
          <w:rtl w:val="0"/>
        </w:rPr>
        <w:t xml:space="preserve"> fixada no percentual de 60% (sessenta por cento) no contrato de honorários advocatícios. </w:t>
      </w:r>
    </w:p>
    <w:p w:rsidR="00000000" w:rsidDel="00000000" w:rsidP="00000000" w:rsidRDefault="00000000" w:rsidRPr="00000000" w14:paraId="0000011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análise da questão referente aos honorários advocatícios pactuados entre a consulente e seu patrono devemos, de início, enfatizar que, ainda que haja divergências jurisprudenciais, o entendimento majoritário é no sentido de que essa espécie de contrato rege-se, no geral, pela legislação civil, não sendo caso de observância do Direito Consumerista. Nessa linha dispõe o STJ:</w:t>
      </w:r>
    </w:p>
    <w:p w:rsidR="00000000" w:rsidDel="00000000" w:rsidP="00000000" w:rsidRDefault="00000000" w:rsidRPr="00000000" w14:paraId="0000011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CIVIL E PROCESSUAL CIVIL. RECURSO ESPECIAL. AÇÃO DE COBRANÇA. CONTRATO DE HONORÁRIOS ADVOCATÍCIOS. CDC NÃO APLICÁVEL. INVENTÁRIO. SUBSTABELECIMENTO E RESILIÇÃO CONSENSUAL EM RELAÇÃO A UM DOS COOBRIGADOS. PEDIDO DE PAGAMENTO INTEGRAL. RECURSO PARCIALMENTE PROVIDO.</w:t>
      </w:r>
    </w:p>
    <w:p w:rsidR="00000000" w:rsidDel="00000000" w:rsidP="00000000" w:rsidRDefault="00000000" w:rsidRPr="00000000" w14:paraId="0000011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1. Na linha da jurisprudência do STJ não se aplica o Código de Defesa do Consumidor à relação contratual entre advogados e clientes, a qual é regida por norma específica - Lei n. 8.906/94. Precedentes. </w:t>
      </w:r>
      <w:r w:rsidDel="00000000" w:rsidR="00000000" w:rsidRPr="00000000">
        <w:rPr>
          <w:rFonts w:ascii="Times New Roman" w:cs="Times New Roman" w:eastAsia="Times New Roman" w:hAnsi="Times New Roman"/>
          <w:sz w:val="20"/>
          <w:szCs w:val="20"/>
          <w:rtl w:val="0"/>
        </w:rPr>
        <w:t xml:space="preserve">2. A obediência ao princípio processual da congruência, ou adstrição, espelhado nos artigos 459 e 460 do CPC, não se desnatura quando se acolhe parte do pedido do autor, ainda que implicitamente formulado, em razão da natureza jurídica da relação contratual, em que veiculadas obrigações recíprocas parcialmente adimplidas. Precedentes. 3. Recurso especial conhecido e parcialmente provido. </w:t>
      </w:r>
    </w:p>
    <w:p w:rsidR="00000000" w:rsidDel="00000000" w:rsidP="00000000" w:rsidRDefault="00000000" w:rsidRPr="00000000" w14:paraId="00000114">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(REsp n. 1.134.709/MG, relatora Ministra Maria Isabel Gallotti, Quarta Turma, julgado em 19/5/2015, DJe de 3/6/2015.).</w:t>
      </w:r>
    </w:p>
    <w:p w:rsidR="00000000" w:rsidDel="00000000" w:rsidP="00000000" w:rsidRDefault="00000000" w:rsidRPr="00000000" w14:paraId="00000115">
      <w:pPr>
        <w:spacing w:after="240" w:before="240" w:line="240" w:lineRule="auto"/>
        <w:ind w:left="2267"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(grifo nosso)</w:t>
      </w:r>
      <w:r w:rsidDel="00000000" w:rsidR="00000000" w:rsidRPr="00000000">
        <w:rPr>
          <w:rtl w:val="0"/>
        </w:rPr>
      </w:r>
    </w:p>
    <w:p w:rsidR="00000000" w:rsidDel="00000000" w:rsidP="00000000" w:rsidRDefault="00000000" w:rsidRPr="00000000" w14:paraId="00000116">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Dito isso, tratando-se o contrato em análise um negócio jurídico bilateral, tem-se que Código Civil pátrio, instrumentalizado na Lei 10.406 de 2002, estipula a liberdade para contratar como regra, baseando-se no princípio da autonomia privada, o qual pressupõe a ideia do consensualismo entre os contratantes. Entretanto, tal liberdade não é absoluta já que, em certas situações, poderá ser mitigada em observância a alguns princípios norteadores, bem como à própria legislação.</w:t>
      </w:r>
    </w:p>
    <w:p w:rsidR="00000000" w:rsidDel="00000000" w:rsidP="00000000" w:rsidRDefault="00000000" w:rsidRPr="00000000" w14:paraId="00000117">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senda, faz-se necessário expor que o Código Civil tem como basilares </w:t>
      </w: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3 </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princípios para sua interpretação: a socialidade, que estabelece a prevalência dos interesses coletivos sobre os individuais, a operabilidade, que estimula a análise do caso concreto para o aplicador da lei buscar uma solução mais justa e, ainda, o princípio da eticidade, o qual impõe a moralidade, ética e boa-fé nas relações reguladas pelo código. Para análise do caso em comento, traz-se à baila dois princípios decorrentes dos supracitados: o princípio da boa-fé contratual e da função social do contrato.</w:t>
      </w:r>
    </w:p>
    <w:p w:rsidR="00000000" w:rsidDel="00000000" w:rsidP="00000000" w:rsidRDefault="00000000" w:rsidRPr="00000000" w14:paraId="00000118">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princípio da boa-fé contratual – cláusula geral decorrente da eticidade – é tido como uma regra de conduta que rege e direciona as relações contratuais no sentido da confiança, lealdade e honestidade entre os contratantes. Nos dizeres de Silvio de Salvo Venosa (p. 37, 2022):</w:t>
      </w:r>
    </w:p>
    <w:p w:rsidR="00000000" w:rsidDel="00000000" w:rsidP="00000000" w:rsidRDefault="00000000" w:rsidRPr="00000000" w14:paraId="0000011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Coloquialmente, podemos afirmar que esse princípio da boa-fé se estampa pelo dever das partes de agir de forma correta, eticamente aceita, antes, durante e depois do contrato, isso porque, mesmo após o cumprimento de um contrato, podem sobrar-lhes efeitos residuais. Importa, pois, examinar o elemento subjetivo em cada contrato, ao lado da conduta objetiva das partes. </w:t>
      </w:r>
    </w:p>
    <w:p w:rsidR="00000000" w:rsidDel="00000000" w:rsidP="00000000" w:rsidRDefault="00000000" w:rsidRPr="00000000" w14:paraId="0000011A">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levando-se em conta o desconhecimento da consulente com relação à cláusula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estipulada, destaca-se que, na esfera da boa-fé contratual, a questão posta perpassa pela concepção dos chamados deveres anexos do contrato, dos quais se extraem os deveres de cooperação, de lealdade, de respeito, de razoabilidade, de proporcionalidade e, principalmente, o dever de clareza na informação das cláusulas pactuadas. Dessa forma, é visível a ausência de boa-fé na atuação de Cleber. Nesse sentido leciona Maria Helena Diniz (p. 23, 2022):</w:t>
      </w:r>
    </w:p>
    <w:p w:rsidR="00000000" w:rsidDel="00000000" w:rsidP="00000000" w:rsidRDefault="00000000" w:rsidRPr="00000000" w14:paraId="0000011B">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Regem as obrigações contratuais os princípios: [...] da boa-fé (CC, arts. 113, 187 e 422), intimamente ligado não só à interpretação do contrato – pois, segundo ele, o sentido literal da linguagem não deverá prevalecer sobre a intenção inferida da declaração de vontade das partes – mas também ao interesse social de segurança das relações jurídicas, uma vez que as partes deverão agir com lealdade, honestidade, honradez, probidade (integridade de caráter), denodo e confiança recíprocas, isto é,</w:t>
      </w:r>
      <w:r w:rsidDel="00000000" w:rsidR="00000000" w:rsidRPr="00000000">
        <w:rPr>
          <w:rFonts w:ascii="Times New Roman" w:cs="Times New Roman" w:eastAsia="Times New Roman" w:hAnsi="Times New Roman"/>
          <w:b w:val="1"/>
          <w:sz w:val="20"/>
          <w:szCs w:val="20"/>
          <w:rtl w:val="0"/>
        </w:rPr>
        <w:t xml:space="preserve"> proceder com boa-fé, esclarecendo os fatos e o conteúdo das cláusulas, procurando o equilíbrio nas prestações, respeitando o outro contratante,</w:t>
      </w:r>
      <w:r w:rsidDel="00000000" w:rsidR="00000000" w:rsidRPr="00000000">
        <w:rPr>
          <w:rFonts w:ascii="Times New Roman" w:cs="Times New Roman" w:eastAsia="Times New Roman" w:hAnsi="Times New Roman"/>
          <w:sz w:val="20"/>
          <w:szCs w:val="20"/>
          <w:rtl w:val="0"/>
        </w:rPr>
        <w:t xml:space="preserve"> não traindo a confiança depositada, procurando cooperar, evitando o enriquecimento indevido, não divulgando informações sigilosas etc. </w:t>
      </w:r>
    </w:p>
    <w:p w:rsidR="00000000" w:rsidDel="00000000" w:rsidP="00000000" w:rsidRDefault="00000000" w:rsidRPr="00000000" w14:paraId="0000011C">
      <w:pPr>
        <w:spacing w:after="240" w:before="240" w:line="240" w:lineRule="auto"/>
        <w:ind w:left="2267" w:firstLine="0"/>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11D">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o princípio da função social do contrato, por sua vez, encontra-se previsto no art. 421 do Código Civil, o qual dispõe que “a liberdade contratual será exercida nos limites da função social do contrato”. Trata-se, portanto, de cláusula geral - decorrente do princípio balizador da socialidade - que impõe a interpretação dos contratos em consonância não só com os interesses dos contratantes, analisada também sob o aspecto da diminuição das desigualdades entres os contraentes (intrínseco), como também de toda sociedade, dado que, a depender do conteúdo pactuado, haverá repercussão jurídica em toda sociedade (extrínseco).  Sobre o tema leciona Flávio Tartuce (p. 86, 2022):</w:t>
      </w:r>
    </w:p>
    <w:p w:rsidR="00000000" w:rsidDel="00000000" w:rsidP="00000000" w:rsidRDefault="00000000" w:rsidRPr="00000000" w14:paraId="0000011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Desse modo, os contratos devem ser interpretados de acordo com a concepção do meio social onde estão inseridos, não trazendo onerosidade excessiva às partes contratantes, garantindo que a igualdade entre elas seja respeitada, mantendo a justiça contratual e equilibrando a relação onde houver a preponderância da situação de um dos contratantes sobre a do outro. [...] Valoriza-se, portanto, a equidade, a razoabilidade, o bom senso, afastando-se o enriquecimento sem causa, ato unilateral vedado expressamente pela própria codificação, nos seus arts. 884 a 886. Por esse caminho, a função social dos contratos visa à proteção da parte vulnerável da relação contratual.</w:t>
      </w:r>
    </w:p>
    <w:p w:rsidR="00000000" w:rsidDel="00000000" w:rsidP="00000000" w:rsidRDefault="00000000" w:rsidRPr="00000000" w14:paraId="0000011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mesmo modo discorre Rubem Valente (p. 376, 2022):</w:t>
      </w:r>
    </w:p>
    <w:p w:rsidR="00000000" w:rsidDel="00000000" w:rsidP="00000000" w:rsidRDefault="00000000" w:rsidRPr="00000000" w14:paraId="00000120">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princípio da função social do contrato pode se manifestar no nível intrínseco (nível das partes, que gera o respeito à lealdade negocial e à boa-fé objetiva ao buscar a equivalência entre os contratantes) e no nível extrínseco (nível da coletividade sob o aspecto de seu impacto social, ao representar que o contrato gera efeitos para a sociedade).</w:t>
      </w:r>
    </w:p>
    <w:p w:rsidR="00000000" w:rsidDel="00000000" w:rsidP="00000000" w:rsidRDefault="00000000" w:rsidRPr="00000000" w14:paraId="0000012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evidencia-se no caso em tela que não se mostra amoldada à concepção da função social do contrato uma remuneração a maior ao causídico do que ao cliente, tanto na medida em que manifesta a desvantagem de Lívia em relação ao patrono, como pelo fato de que a prestação dos serviços pelos advogados visam a defender os interesses dos que clamam por justiça, não se sobressair economicamente sobre eles. Se assim fosse estabelecido como praxe, a advocacia seria mera finalidade de obtenção de lucro, não de justiça social. </w:t>
      </w:r>
    </w:p>
    <w:p w:rsidR="00000000" w:rsidDel="00000000" w:rsidP="00000000" w:rsidRDefault="00000000" w:rsidRPr="00000000" w14:paraId="00000122">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a Lei nº 8.906 de 1994,  a qual rege a atuação dos operadores da advocacia em âmbito nacional ao dispor acerca do Estatuto da Advocacia e da OAB, estabelece em seu art. 33 que o advogado está obrigado a cumprir rigorosamente os deveres consignados no Código de Ética e Disciplina. Referido código, aprovado pelo Conselho Federal da Ordem dos Advogados do Brasil por meio da Resolução 02/2015, veda expressamente que a vantagem obtida pelo patrono seja superior às percebidas a favor do cliente, nos termos do seu art. 50:</w:t>
      </w:r>
    </w:p>
    <w:p w:rsidR="00000000" w:rsidDel="00000000" w:rsidP="00000000" w:rsidRDefault="00000000" w:rsidRPr="00000000" w14:paraId="00000123">
      <w:pPr>
        <w:spacing w:after="0" w:before="24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Na hipótese da adoção de cláusula quota litis, os honorários devem ser necessariamente representados por pecúnia e, quando acrescidos dos honorários da sucumbência, não podem ser superiores às vantagens advindas a favor do cliente.</w:t>
      </w:r>
    </w:p>
    <w:p w:rsidR="00000000" w:rsidDel="00000000" w:rsidP="00000000" w:rsidRDefault="00000000" w:rsidRPr="00000000" w14:paraId="00000124">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jurisprudência são fartas as deliberações nesse sentido. Para o Tribunal Regional Federal da 1ª Região:</w:t>
      </w:r>
    </w:p>
    <w:p w:rsidR="00000000" w:rsidDel="00000000" w:rsidP="00000000" w:rsidRDefault="00000000" w:rsidRPr="00000000" w14:paraId="00000125">
      <w:pPr>
        <w:spacing w:after="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PREVIDENCIÁRIO. AGRAVO DE INSTRUMENTO. HONORÁRIOS ADVOCATÍCIOS CONTRATUAIS PACTUADOS ENTRE O SEGURADO E SEU PATRONO. DESTAQUE. PERCENTUAL ABUSIVO. LIMITAÇÃO. 1. (...) a regra geral é a não intervenção do Poder Judiciário no percentual dos honorários contratuais pactuados entre o segurado e seu patrono. 4. Não se afasta, contudo, de forma definitiva a possibilidade de que as cláusulas contratuais relacionadas ao percentual da remuneração devida pelo segurado ao seu patrono sejam revistas pelo Poder Judiciário. 5. Há que se fazer, necessariamente, uma apreciação do contrato à luz dos princípios da boa-fé objetiva, da boa-fé contratual e da vedação ao enriquecimento sem causa de um dos contratantes em prejuízo do outro, tendo como referência as próprias disposições do Estatuto de Ética e Disciplina da ordem dos Advogados do Brasil. 6. Resumindo, tem-se a respeito do tema o seguinte panorama: a regra geral é a não intervenção do Poder Judiciário no contrato de honorários advocatícios. Deve-se, contudo, admitir a redução, pelo juiz, até mesmo de ofício, do percentual da verba honorária contratual naquelas situações em que se mostrar imoderado o montante contratado, tendo como parâmetro máximo para tal verificação a impossibilidade de que a demanda resulte mais benéfica ao advogado do que ao próprio cliente. (AG 00072268720124040000, CELSO KIPPER, TRF4 - SEXTA TURMA, D.E. 18/09/2013) 2. Na hipótese, a decisão merece ser mantida uma vez que os honorários devem ser fixados com certa moderação, observando-se a relevância, o valor, a complexidade da causa, o tempo despendido, dentre outros critérios. Ademais, o eg. STJ entende que o valor fixado no percentual de 50% - a título de honorários contratuais se mostra lesivo. Veja-se: (...) 5. Ocorre lesão na hipótese em que um advogado, valendo-se de situação de desespero da parte, firma contrato quota litis no qual fixa sua remuneração ad exitum em 50% do benefício econômico gerado pela causa. 6. Recurso especial conhecido e provido, revisando-se a cláusula contratual que fixou os honorários advocatícios para o fim de reduzi-los ao patamar de 30% da condenação obtida. </w:t>
      </w:r>
    </w:p>
    <w:p w:rsidR="00000000" w:rsidDel="00000000" w:rsidP="00000000" w:rsidRDefault="00000000" w:rsidRPr="00000000" w14:paraId="00000126">
      <w:pPr>
        <w:spacing w:after="0" w:before="240" w:line="240" w:lineRule="auto"/>
        <w:ind w:left="2267" w:firstLine="0"/>
        <w:jc w:val="both"/>
        <w:rPr>
          <w:rFonts w:ascii="Times New Roman" w:cs="Times New Roman" w:eastAsia="Times New Roman" w:hAnsi="Times New Roman"/>
          <w:sz w:val="20"/>
          <w:szCs w:val="20"/>
          <w:highlight w:val="red"/>
        </w:rPr>
      </w:pPr>
      <w:r w:rsidDel="00000000" w:rsidR="00000000" w:rsidRPr="00000000">
        <w:rPr>
          <w:rFonts w:ascii="Times New Roman" w:cs="Times New Roman" w:eastAsia="Times New Roman" w:hAnsi="Times New Roman"/>
          <w:sz w:val="20"/>
          <w:szCs w:val="20"/>
          <w:highlight w:val="white"/>
          <w:rtl w:val="0"/>
        </w:rPr>
        <w:t xml:space="preserve">TRF 1. Agravo de Instrumento 1020485-72.2019.4.01.0000. Relator(a): Desembargador Federal João Luiz de Sousa. Segunda Turma. Data da publicação: 11/03/2022</w:t>
      </w:r>
      <w:r w:rsidDel="00000000" w:rsidR="00000000" w:rsidRPr="00000000">
        <w:rPr>
          <w:rtl w:val="0"/>
        </w:rPr>
      </w:r>
    </w:p>
    <w:p w:rsidR="00000000" w:rsidDel="00000000" w:rsidP="00000000" w:rsidRDefault="00000000" w:rsidRPr="00000000" w14:paraId="00000127">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 o Tribunal de Justiça do Estado do Rio de Janeiro:</w:t>
      </w:r>
    </w:p>
    <w:p w:rsidR="00000000" w:rsidDel="00000000" w:rsidP="00000000" w:rsidRDefault="00000000" w:rsidRPr="00000000" w14:paraId="00000128">
      <w:pPr>
        <w:spacing w:after="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DE INSTRUMENTO. HONORÁRIOS ADVOCATÍCIOS. CONTRATADOS. CLÁUSULA QUOTA LITIS. PERCENTUAL. ABUSIVIDADE. REDUÇÃO QUE SE IMPÕE. </w:t>
      </w:r>
    </w:p>
    <w:p w:rsidR="00000000" w:rsidDel="00000000" w:rsidP="00000000" w:rsidRDefault="00000000" w:rsidRPr="00000000" w14:paraId="00000129">
      <w:pPr>
        <w:spacing w:after="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1. Inicialmente, não será conhecida a pretensão relativa à remessa dos autos à contadoria judicial, uma vez que não foi objeto da decisão agravada, logo, a análise configuraria indevida supressão de instância. 2. A Resolução n° 02/2015, editada pelo Conselho Federal da Ordem dos Advogados do Brasil, aprova o Código de Ética e Disciplina da Ordem dos Advogados do Brasil — OAB, no artigo 5o, caput, dispõe que no caso de cliente /advogado firmarem cláusula autorizando o pagamento dos honorários somente ao final do processo (quota litis) quando acrescidos dos honorários de sucumbência, não podem ser superiores às vantagens advindas a favor do cliente. 3. Não se olvide que os honorários advocatícios sejam os contratuais ou mesmo os sucumbenciaís, devem ser fixados com moderação, além de corresponder às peculiaridades do caso concreto, mormente o lugar da prestação do serviço, a natureza e a importância da causa e o tempo que se exige para a realização do serviço para o qual o profissional fora contratado. 4. A fixação de honorários em desconformidade com as premissas acima, poderá configurar não só o enriquecimento indevido, mas, também, o próprio instituto da lesão, ao se valer o profissional da situação de inferioridade da parte contratante. 5. Assim, a fixação de honorários contratuais no percentual de 50% (cinquenta por cento), além de ofender as premissas citadas, não se mostra em consonância com o Código de Ética e Disciplina da Ordem dos Advogados do Brasil. 6. Dessa forma, é medida que se impõe a redução dos honorários contratuais para o percentual de 30% (trinta por cento), até porque se mostra consonante com aquele usualmente firmado pelas partes nas demandas trazidas ao Judiciário. Precedente do STJ. 7. Provimento parcial do agravo.</w:t>
      </w:r>
    </w:p>
    <w:p w:rsidR="00000000" w:rsidDel="00000000" w:rsidP="00000000" w:rsidRDefault="00000000" w:rsidRPr="00000000" w14:paraId="0000012A">
      <w:pPr>
        <w:spacing w:after="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DE INSTRUMENTO nº</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highlight w:val="white"/>
          <w:rtl w:val="0"/>
        </w:rPr>
        <w:t xml:space="preserve">0035520-26.2017.8.19.0000. Des(a). JOSÉ CARLOS PAES - Julgamento: 16/08/2017 - DÉCIMA QUARTA CÂMARA CÍVEL)</w:t>
      </w:r>
    </w:p>
    <w:p w:rsidR="00000000" w:rsidDel="00000000" w:rsidP="00000000" w:rsidRDefault="00000000" w:rsidRPr="00000000" w14:paraId="0000012B">
      <w:pPr>
        <w:spacing w:after="0" w:before="240" w:line="360" w:lineRule="auto"/>
        <w:ind w:left="0" w:firstLine="708"/>
        <w:jc w:val="both"/>
        <w:rPr>
          <w:rFonts w:ascii="Times New Roman" w:cs="Times New Roman" w:eastAsia="Times New Roman" w:hAnsi="Times New Roman"/>
          <w:color w:val="4f4f4f"/>
          <w:sz w:val="20"/>
          <w:szCs w:val="20"/>
          <w:highlight w:val="white"/>
        </w:rPr>
      </w:pPr>
      <w:r w:rsidDel="00000000" w:rsidR="00000000" w:rsidRPr="00000000">
        <w:rPr>
          <w:rFonts w:ascii="Times New Roman" w:cs="Times New Roman" w:eastAsia="Times New Roman" w:hAnsi="Times New Roman"/>
          <w:sz w:val="24"/>
          <w:szCs w:val="24"/>
          <w:rtl w:val="0"/>
        </w:rPr>
        <w:t xml:space="preserve">Não diverso é o entendimento do TJSP:</w:t>
      </w:r>
      <w:r w:rsidDel="00000000" w:rsidR="00000000" w:rsidRPr="00000000">
        <w:rPr>
          <w:rtl w:val="0"/>
        </w:rPr>
      </w:r>
    </w:p>
    <w:p w:rsidR="00000000" w:rsidDel="00000000" w:rsidP="00000000" w:rsidRDefault="00000000" w:rsidRPr="00000000" w14:paraId="0000012C">
      <w:pPr>
        <w:spacing w:after="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EMBARGOS À EXECUÇÃO - CONTRATO DE HONORÁRIOS ADVOCATÍCIOS - Cláusula "quota litis" - EMBARGADO - PATROCÍNIO de RECLAMAÇÃO TRABALHISTA EM FAVOR DO EMBARGANTE - pretensão - recebimento DE HONORÁRIOS sobre o total da condenação, INCLUINDO parcelas futuras de pensão vitalícia - abusividade - RECONHECIMENTO - readequação - RESPEITO AOS princípios da moderação e da razoabilidade - EXEGESE DO art. 50, §2º, do código de ética e disciplina da oab - INCIDência de 30% sobre A CONDENAÇÃO, ACRESCIDA DE Doze parcelas vincendas DA pensão vitalícia - EXEQUENTE - PERÍCIA - APURAÇÃO - AUSÊNCIA DE CRÉDITO - SENTENÇA – PROCEDÊNCIA - MANUTENÇÃO. APELO do embargado não provido.</w:t>
      </w:r>
    </w:p>
    <w:p w:rsidR="00000000" w:rsidDel="00000000" w:rsidP="00000000" w:rsidRDefault="00000000" w:rsidRPr="00000000" w14:paraId="0000012D">
      <w:pPr>
        <w:spacing w:after="0" w:before="240" w:line="240" w:lineRule="auto"/>
        <w:ind w:left="2267" w:firstLine="0"/>
        <w:jc w:val="both"/>
        <w:rPr>
          <w:rFonts w:ascii="Times New Roman" w:cs="Times New Roman" w:eastAsia="Times New Roman" w:hAnsi="Times New Roman"/>
          <w:color w:val="ff0000"/>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(TJSP;  Apelação Cível 1004670-23.2017.8.26.0405; Relator (a): Tavares de Almeida; Órgão Julgador: 27ª Câmara de Direito Privado; Foro de Osasco - 6ª Vara Cível; Data do Julgamento: 24/11/2020; Data de Registro: 25/11/2020)</w:t>
      </w:r>
      <w:r w:rsidDel="00000000" w:rsidR="00000000" w:rsidRPr="00000000">
        <w:rPr>
          <w:rtl w:val="0"/>
        </w:rPr>
      </w:r>
    </w:p>
    <w:p w:rsidR="00000000" w:rsidDel="00000000" w:rsidP="00000000" w:rsidRDefault="00000000" w:rsidRPr="00000000" w14:paraId="0000012E">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a cláusula em comento reveste-se de incorreção dada a ausência de razoabilidade na fixação do patamar estabelecido, ferindo-se os princípios que orientam as relações contratuais e a legislação de regência. Por fim, acrescente-se que, embora não usual a intervenção judicial em percentual pactuado a título de honorários advocatícios, latente a necessidade de sua revisão no âmbito jurídico.</w:t>
      </w:r>
    </w:p>
    <w:p w:rsidR="00000000" w:rsidDel="00000000" w:rsidP="00000000" w:rsidRDefault="00000000" w:rsidRPr="00000000" w14:paraId="0000012F">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numPr>
          <w:ilvl w:val="0"/>
          <w:numId w:val="2"/>
        </w:numPr>
        <w:spacing w:after="200" w:before="0" w:line="360" w:lineRule="auto"/>
        <w:ind w:left="720" w:hanging="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conclusão</w:t>
      </w:r>
    </w:p>
    <w:p w:rsidR="00000000" w:rsidDel="00000000" w:rsidP="00000000" w:rsidRDefault="00000000" w:rsidRPr="00000000" w14:paraId="00000131">
      <w:pPr>
        <w:spacing w:after="0" w:before="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Portanto, ainda que Sérgio Lorota tenha sido ouvido sem a presença do advogado diante do delegado de polícia, a investigação e o processo todo não podem ser anulados. Isso porque o objetivo do inquérito policial é reunir elementos informativos que justifiquem a propositura da ação criminal, e dessa forma, é fase independente e dispensável e eventuais nulidades ocorridas em seu âmbito não possuem o condão de anular o processo criminal. Além disso, o inquérito policial prescinde de contraditório e ampla defesa, não sendo obrigatória a presença de ad</w:t>
      </w:r>
      <w:r w:rsidDel="00000000" w:rsidR="00000000" w:rsidRPr="00000000">
        <w:rPr>
          <w:rFonts w:ascii="Times New Roman" w:cs="Times New Roman" w:eastAsia="Times New Roman" w:hAnsi="Times New Roman"/>
          <w:sz w:val="24"/>
          <w:szCs w:val="24"/>
          <w:highlight w:val="white"/>
          <w:rtl w:val="0"/>
        </w:rPr>
        <w:t xml:space="preserve">vogado, concluindo-se, portanto, que não há que se falar em nulidade da investigação ou da ação penal.</w:t>
      </w:r>
    </w:p>
    <w:p w:rsidR="00000000" w:rsidDel="00000000" w:rsidP="00000000" w:rsidRDefault="00000000" w:rsidRPr="00000000" w14:paraId="00000132">
      <w:pPr>
        <w:spacing w:after="0" w:before="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com relação ao cumprimento da pena integralmente em regime fechado, observando-se os princípios da individualização da pena e da dignidade da pessoa humana, bem como considerando-se a legislação penal no que toca aos crimes hediondos praticados, pode-se afirmar que o tio de Lívia não cumprirá, em regra, toda sua pena em penitenciária, tendo direito de progressão a regime mais brando no qual se verá fora do encarceramento. </w:t>
      </w:r>
    </w:p>
    <w:p w:rsidR="00000000" w:rsidDel="00000000" w:rsidP="00000000" w:rsidRDefault="00000000" w:rsidRPr="00000000" w14:paraId="00000133">
      <w:pPr>
        <w:spacing w:after="0" w:before="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Outrossim, não há de se falar em incorreção no recurso adesivo interposto pela financeira após o prazo regular para apelar, dado que em consonância com a legislação processual a possibilidade de sua interposição no prazo para apresentação de resposta ao recurso de apelação. Ressalta-se somente que, no caso concreto, dada a dependência ao principal, deverão estar preenchidos os requisitos de admissibilidade de ambos os recursos para que haja seu conhecimento.</w:t>
      </w:r>
    </w:p>
    <w:p w:rsidR="00000000" w:rsidDel="00000000" w:rsidP="00000000" w:rsidRDefault="00000000" w:rsidRPr="00000000" w14:paraId="00000134">
      <w:pPr>
        <w:spacing w:after="0" w:before="0"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highlight w:val="white"/>
          <w:rtl w:val="0"/>
        </w:rPr>
        <w:t xml:space="preserve">Por fim, com relação à cláusula </w:t>
      </w:r>
      <w:r w:rsidDel="00000000" w:rsidR="00000000" w:rsidRPr="00000000">
        <w:rPr>
          <w:rFonts w:ascii="Times New Roman" w:cs="Times New Roman" w:eastAsia="Times New Roman" w:hAnsi="Times New Roman"/>
          <w:i w:val="1"/>
          <w:sz w:val="24"/>
          <w:szCs w:val="24"/>
          <w:highlight w:val="white"/>
          <w:rtl w:val="0"/>
        </w:rPr>
        <w:t xml:space="preserve">quota litis</w:t>
      </w:r>
      <w:r w:rsidDel="00000000" w:rsidR="00000000" w:rsidRPr="00000000">
        <w:rPr>
          <w:rFonts w:ascii="Times New Roman" w:cs="Times New Roman" w:eastAsia="Times New Roman" w:hAnsi="Times New Roman"/>
          <w:sz w:val="24"/>
          <w:szCs w:val="24"/>
          <w:highlight w:val="white"/>
          <w:rtl w:val="0"/>
        </w:rPr>
        <w:t xml:space="preserve"> estabelecida no contrato de honorários da consulente com seu advogado, ainda que predomine na legislação civil pátria a autonomia da vontade dos contratantes, a mesma não é absoluta, devendo ser o percentual pactuado revisto em razão da manifesta ausência de boa fé contratual por parte de Cleber, da vedação legal expressa de percepção de vantagem a maior pelo advogado e, ainda, da insatisfação da função social do referido contrato. </w:t>
      </w:r>
      <w:r w:rsidDel="00000000" w:rsidR="00000000" w:rsidRPr="00000000">
        <w:rPr>
          <w:rtl w:val="0"/>
        </w:rPr>
      </w:r>
    </w:p>
    <w:p w:rsidR="00000000" w:rsidDel="00000000" w:rsidP="00000000" w:rsidRDefault="00000000" w:rsidRPr="00000000" w14:paraId="00000135">
      <w:pPr>
        <w:spacing w:after="20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 </w:t>
      </w:r>
    </w:p>
    <w:p w:rsidR="00000000" w:rsidDel="00000000" w:rsidP="00000000" w:rsidRDefault="00000000" w:rsidRPr="00000000" w14:paraId="00000136">
      <w:pPr>
        <w:spacing w:after="200" w:before="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137">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Beatriz Castilho Noronha Silva</w:t>
      </w:r>
    </w:p>
    <w:p w:rsidR="00000000" w:rsidDel="00000000" w:rsidP="00000000" w:rsidRDefault="00000000" w:rsidRPr="00000000" w14:paraId="00000138">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20000400</w:t>
      </w:r>
    </w:p>
    <w:p w:rsidR="00000000" w:rsidDel="00000000" w:rsidP="00000000" w:rsidRDefault="00000000" w:rsidRPr="00000000" w14:paraId="00000139">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Heda Nayra dos Santos Bacheschi</w:t>
      </w:r>
    </w:p>
    <w:p w:rsidR="00000000" w:rsidDel="00000000" w:rsidP="00000000" w:rsidRDefault="00000000" w:rsidRPr="00000000" w14:paraId="0000013A">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20001081</w:t>
      </w:r>
    </w:p>
    <w:p w:rsidR="00000000" w:rsidDel="00000000" w:rsidP="00000000" w:rsidRDefault="00000000" w:rsidRPr="00000000" w14:paraId="0000013B">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Helder Estevão Ferrari </w:t>
      </w:r>
    </w:p>
    <w:p w:rsidR="00000000" w:rsidDel="00000000" w:rsidP="00000000" w:rsidRDefault="00000000" w:rsidRPr="00000000" w14:paraId="0000013C">
      <w:pPr>
        <w:spacing w:after="20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20001297</w:t>
      </w:r>
    </w:p>
    <w:p w:rsidR="00000000" w:rsidDel="00000000" w:rsidP="00000000" w:rsidRDefault="00000000" w:rsidRPr="00000000" w14:paraId="0000013D">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E">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F">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0">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1">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2">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3">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4">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5">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6">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7">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8">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9">
      <w:pPr>
        <w:spacing w:after="20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A">
      <w:pPr>
        <w:spacing w:after="20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REFERÊNCIAS</w:t>
      </w:r>
    </w:p>
    <w:p w:rsidR="00000000" w:rsidDel="00000000" w:rsidP="00000000" w:rsidRDefault="00000000" w:rsidRPr="00000000" w14:paraId="0000014B">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ALVIM, Eduardo A.; GRANADO, Daniel W.; FERREIRA, Eduardo A. </w:t>
      </w:r>
      <w:r w:rsidDel="00000000" w:rsidR="00000000" w:rsidRPr="00000000">
        <w:rPr>
          <w:rFonts w:ascii="Times New Roman" w:cs="Times New Roman" w:eastAsia="Times New Roman" w:hAnsi="Times New Roman"/>
          <w:b w:val="1"/>
          <w:sz w:val="24"/>
          <w:szCs w:val="24"/>
          <w:rtl w:val="0"/>
        </w:rPr>
        <w:t xml:space="preserve">Direito processual civil</w:t>
      </w:r>
      <w:r w:rsidDel="00000000" w:rsidR="00000000" w:rsidRPr="00000000">
        <w:rPr>
          <w:rFonts w:ascii="Times New Roman" w:cs="Times New Roman" w:eastAsia="Times New Roman" w:hAnsi="Times New Roman"/>
          <w:sz w:val="24"/>
          <w:szCs w:val="24"/>
          <w:rtl w:val="0"/>
        </w:rPr>
        <w:t xml:space="preserve"> - 6. ed. São Paulo: Saraiva Educação, 2019. E-book. Disponível em: &lt;https://integrada.minhabiblioteca.com.br/#/books/9788553611416/&gt;. Acesso em: 06 nov. 2022.</w:t>
      </w:r>
      <w:r w:rsidDel="00000000" w:rsidR="00000000" w:rsidRPr="00000000">
        <w:rPr>
          <w:rtl w:val="0"/>
        </w:rPr>
      </w:r>
    </w:p>
    <w:p w:rsidR="00000000" w:rsidDel="00000000" w:rsidP="00000000" w:rsidRDefault="00000000" w:rsidRPr="00000000" w14:paraId="0000014C">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AVENA, Norberto. </w:t>
      </w:r>
      <w:r w:rsidDel="00000000" w:rsidR="00000000" w:rsidRPr="00000000">
        <w:rPr>
          <w:rFonts w:ascii="Times New Roman" w:cs="Times New Roman" w:eastAsia="Times New Roman" w:hAnsi="Times New Roman"/>
          <w:b w:val="1"/>
          <w:sz w:val="24"/>
          <w:szCs w:val="24"/>
          <w:rtl w:val="0"/>
        </w:rPr>
        <w:t xml:space="preserve">Processo penal.</w:t>
      </w:r>
      <w:r w:rsidDel="00000000" w:rsidR="00000000" w:rsidRPr="00000000">
        <w:rPr>
          <w:rFonts w:ascii="Times New Roman" w:cs="Times New Roman" w:eastAsia="Times New Roman" w:hAnsi="Times New Roman"/>
          <w:sz w:val="24"/>
          <w:szCs w:val="24"/>
          <w:rtl w:val="0"/>
        </w:rPr>
        <w:t xml:space="preserve"> – 14. ed., rev., atual. e ampl. – Rio de Janeiro: Método, 2022.</w:t>
      </w:r>
      <w:r w:rsidDel="00000000" w:rsidR="00000000" w:rsidRPr="00000000">
        <w:rPr>
          <w:rtl w:val="0"/>
        </w:rPr>
      </w:r>
    </w:p>
    <w:p w:rsidR="00000000" w:rsidDel="00000000" w:rsidP="00000000" w:rsidRDefault="00000000" w:rsidRPr="00000000" w14:paraId="0000014D">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BRASIL. Decreto n°</w:t>
      </w:r>
      <w:hyperlink r:id="rId17">
        <w:r w:rsidDel="00000000" w:rsidR="00000000" w:rsidRPr="00000000">
          <w:rPr>
            <w:rFonts w:ascii="Times New Roman" w:cs="Times New Roman" w:eastAsia="Times New Roman" w:hAnsi="Times New Roman"/>
            <w:sz w:val="24"/>
            <w:szCs w:val="24"/>
            <w:rtl w:val="0"/>
          </w:rPr>
          <w:t xml:space="preserve"> 678 de 6 de novembro de 1992</w:t>
        </w:r>
      </w:hyperlink>
      <w:r w:rsidDel="00000000" w:rsidR="00000000" w:rsidRPr="00000000">
        <w:rPr>
          <w:rFonts w:ascii="Times New Roman" w:cs="Times New Roman" w:eastAsia="Times New Roman" w:hAnsi="Times New Roman"/>
          <w:sz w:val="24"/>
          <w:szCs w:val="24"/>
          <w:rtl w:val="0"/>
        </w:rPr>
        <w:t xml:space="preserve">.  Convenção Americana sobre Direitos Humanos (Pacto de São José da Costa Rica), de 22 de novembro de 1969. Disponível em: &lt;</w:t>
      </w:r>
      <w:hyperlink r:id="rId18">
        <w:r w:rsidDel="00000000" w:rsidR="00000000" w:rsidRPr="00000000">
          <w:rPr>
            <w:rFonts w:ascii="Times New Roman" w:cs="Times New Roman" w:eastAsia="Times New Roman" w:hAnsi="Times New Roman"/>
            <w:sz w:val="24"/>
            <w:szCs w:val="24"/>
            <w:rtl w:val="0"/>
          </w:rPr>
          <w:t xml:space="preserve">http://www.planalto.gov.br/ccivil_03/decreto/d0678.htm</w:t>
        </w:r>
      </w:hyperlink>
      <w:r w:rsidDel="00000000" w:rsidR="00000000" w:rsidRPr="00000000">
        <w:rPr>
          <w:rFonts w:ascii="Times New Roman" w:cs="Times New Roman" w:eastAsia="Times New Roman" w:hAnsi="Times New Roman"/>
          <w:sz w:val="24"/>
          <w:szCs w:val="24"/>
          <w:rtl w:val="0"/>
        </w:rPr>
        <w:t xml:space="preserve">&gt;. Acesso em: 09 nov. 2022</w:t>
      </w:r>
      <w:r w:rsidDel="00000000" w:rsidR="00000000" w:rsidRPr="00000000">
        <w:rPr>
          <w:rFonts w:ascii="Roboto" w:cs="Roboto" w:eastAsia="Roboto" w:hAnsi="Roboto"/>
          <w:sz w:val="21"/>
          <w:szCs w:val="21"/>
          <w:rtl w:val="0"/>
        </w:rPr>
        <w:t xml:space="preserve">.</w:t>
      </w:r>
      <w:r w:rsidDel="00000000" w:rsidR="00000000" w:rsidRPr="00000000">
        <w:rPr>
          <w:rtl w:val="0"/>
        </w:rPr>
      </w:r>
    </w:p>
    <w:p w:rsidR="00000000" w:rsidDel="00000000" w:rsidP="00000000" w:rsidRDefault="00000000" w:rsidRPr="00000000" w14:paraId="0000014E">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BRASIL. </w:t>
      </w:r>
      <w:hyperlink r:id="rId19">
        <w:r w:rsidDel="00000000" w:rsidR="00000000" w:rsidRPr="00000000">
          <w:rPr>
            <w:rFonts w:ascii="Times New Roman" w:cs="Times New Roman" w:eastAsia="Times New Roman" w:hAnsi="Times New Roman"/>
            <w:sz w:val="24"/>
            <w:szCs w:val="24"/>
            <w:rtl w:val="0"/>
          </w:rPr>
          <w:t xml:space="preserve">Decreto - Lei n</w:t>
        </w:r>
      </w:hyperlink>
      <w:hyperlink r:id="rId20">
        <w:r w:rsidDel="00000000" w:rsidR="00000000" w:rsidRPr="00000000">
          <w:rPr>
            <w:rFonts w:ascii="Times New Roman" w:cs="Times New Roman" w:eastAsia="Times New Roman" w:hAnsi="Times New Roman"/>
            <w:sz w:val="24"/>
            <w:szCs w:val="24"/>
            <w:vertAlign w:val="superscript"/>
            <w:rtl w:val="0"/>
          </w:rPr>
          <w:t xml:space="preserve">o</w:t>
        </w:r>
      </w:hyperlink>
      <w:hyperlink r:id="rId21">
        <w:r w:rsidDel="00000000" w:rsidR="00000000" w:rsidRPr="00000000">
          <w:rPr>
            <w:rFonts w:ascii="Times New Roman" w:cs="Times New Roman" w:eastAsia="Times New Roman" w:hAnsi="Times New Roman"/>
            <w:sz w:val="24"/>
            <w:szCs w:val="24"/>
            <w:rtl w:val="0"/>
          </w:rPr>
          <w:t xml:space="preserve"> 2.848 de 7 de dezembro de 1940</w:t>
        </w:r>
      </w:hyperlink>
      <w:r w:rsidDel="00000000" w:rsidR="00000000" w:rsidRPr="00000000">
        <w:rPr>
          <w:rFonts w:ascii="Times New Roman" w:cs="Times New Roman" w:eastAsia="Times New Roman" w:hAnsi="Times New Roman"/>
          <w:sz w:val="24"/>
          <w:szCs w:val="24"/>
          <w:rtl w:val="0"/>
        </w:rPr>
        <w:t xml:space="preserve">. Código Penal. Rio de Janeiro, 1940. Disponível em: &lt;</w:t>
      </w:r>
      <w:hyperlink r:id="rId22">
        <w:r w:rsidDel="00000000" w:rsidR="00000000" w:rsidRPr="00000000">
          <w:rPr>
            <w:rFonts w:ascii="Times New Roman" w:cs="Times New Roman" w:eastAsia="Times New Roman" w:hAnsi="Times New Roman"/>
            <w:sz w:val="24"/>
            <w:szCs w:val="24"/>
            <w:rtl w:val="0"/>
          </w:rPr>
          <w:t xml:space="preserve">https://www.planalto.gov.br/ccivil_03/decreto-lei/del2848compilado.htm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&gt;. Acesso em: 09 nov. 2022. </w:t>
      </w:r>
      <w:r w:rsidDel="00000000" w:rsidR="00000000" w:rsidRPr="00000000">
        <w:rPr>
          <w:rtl w:val="0"/>
        </w:rPr>
      </w:r>
    </w:p>
    <w:p w:rsidR="00000000" w:rsidDel="00000000" w:rsidP="00000000" w:rsidRDefault="00000000" w:rsidRPr="00000000" w14:paraId="0000014F">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BRASIL. </w:t>
      </w:r>
      <w:hyperlink r:id="rId23">
        <w:r w:rsidDel="00000000" w:rsidR="00000000" w:rsidRPr="00000000">
          <w:rPr>
            <w:rFonts w:ascii="Times New Roman" w:cs="Times New Roman" w:eastAsia="Times New Roman" w:hAnsi="Times New Roman"/>
            <w:sz w:val="24"/>
            <w:szCs w:val="24"/>
            <w:rtl w:val="0"/>
          </w:rPr>
          <w:t xml:space="preserve">Lei nº 8.072, de 25 de Julho de 1990.</w:t>
        </w:r>
      </w:hyperlink>
      <w:r w:rsidDel="00000000" w:rsidR="00000000" w:rsidRPr="00000000">
        <w:rPr>
          <w:rFonts w:ascii="Times New Roman" w:cs="Times New Roman" w:eastAsia="Times New Roman" w:hAnsi="Times New Roman"/>
          <w:sz w:val="24"/>
          <w:szCs w:val="24"/>
          <w:rtl w:val="0"/>
        </w:rPr>
        <w:t xml:space="preserve"> Lei dos Crimes Hediondos. Brasília. Disponível em: &lt;</w:t>
      </w:r>
      <w:hyperlink r:id="rId24">
        <w:r w:rsidDel="00000000" w:rsidR="00000000" w:rsidRPr="00000000">
          <w:rPr>
            <w:rFonts w:ascii="Times New Roman" w:cs="Times New Roman" w:eastAsia="Times New Roman" w:hAnsi="Times New Roman"/>
            <w:sz w:val="24"/>
            <w:szCs w:val="24"/>
            <w:rtl w:val="0"/>
          </w:rPr>
          <w:t xml:space="preserve">http://www.planalto.gov.br/ccivil_03/leis/l8072.htm</w:t>
        </w:r>
      </w:hyperlink>
      <w:r w:rsidDel="00000000" w:rsidR="00000000" w:rsidRPr="00000000">
        <w:rPr>
          <w:rFonts w:ascii="Times New Roman" w:cs="Times New Roman" w:eastAsia="Times New Roman" w:hAnsi="Times New Roman"/>
          <w:sz w:val="24"/>
          <w:szCs w:val="24"/>
          <w:rtl w:val="0"/>
        </w:rPr>
        <w:t xml:space="preserve">&gt;. Acesso em 09 nov. 2022.</w:t>
      </w:r>
      <w:r w:rsidDel="00000000" w:rsidR="00000000" w:rsidRPr="00000000">
        <w:rPr>
          <w:rtl w:val="0"/>
        </w:rPr>
      </w:r>
    </w:p>
    <w:p w:rsidR="00000000" w:rsidDel="00000000" w:rsidP="00000000" w:rsidRDefault="00000000" w:rsidRPr="00000000" w14:paraId="00000150">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Lei nº 3.689 de 03 de outubro de 1941. Código de Processo Penal. Rio de Janeiro, 1941. Disponível em:&lt;http://www.planalto.gov.br/ccivil_03/decreto-lei/del3689compilado.htm&gt;. Acesso em: 02 nov. 2022.</w:t>
      </w:r>
      <w:r w:rsidDel="00000000" w:rsidR="00000000" w:rsidRPr="00000000">
        <w:rPr>
          <w:rtl w:val="0"/>
        </w:rPr>
      </w:r>
    </w:p>
    <w:p w:rsidR="00000000" w:rsidDel="00000000" w:rsidP="00000000" w:rsidRDefault="00000000" w:rsidRPr="00000000" w14:paraId="00000151">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BRASIL. </w:t>
      </w:r>
      <w:hyperlink r:id="rId25">
        <w:r w:rsidDel="00000000" w:rsidR="00000000" w:rsidRPr="00000000">
          <w:rPr>
            <w:rFonts w:ascii="Times New Roman" w:cs="Times New Roman" w:eastAsia="Times New Roman" w:hAnsi="Times New Roman"/>
            <w:sz w:val="24"/>
            <w:szCs w:val="24"/>
            <w:rtl w:val="0"/>
          </w:rPr>
          <w:t xml:space="preserve">Lei nº 7.210 de 11 de julho de 1984.</w:t>
        </w:r>
      </w:hyperlink>
      <w:r w:rsidDel="00000000" w:rsidR="00000000" w:rsidRPr="00000000">
        <w:rPr>
          <w:rFonts w:ascii="Times New Roman" w:cs="Times New Roman" w:eastAsia="Times New Roman" w:hAnsi="Times New Roman"/>
          <w:sz w:val="24"/>
          <w:szCs w:val="24"/>
          <w:rtl w:val="0"/>
        </w:rPr>
        <w:t xml:space="preserve"> Lei de Execução Penal. Brasília. Disponível em: &lt;</w:t>
      </w:r>
      <w:hyperlink r:id="rId26">
        <w:r w:rsidDel="00000000" w:rsidR="00000000" w:rsidRPr="00000000">
          <w:rPr>
            <w:rFonts w:ascii="Times New Roman" w:cs="Times New Roman" w:eastAsia="Times New Roman" w:hAnsi="Times New Roman"/>
            <w:sz w:val="24"/>
            <w:szCs w:val="24"/>
            <w:rtl w:val="0"/>
          </w:rPr>
          <w:t xml:space="preserve">https://www.planalto.gov.br/ccivil_03/leis/l7210.htm</w:t>
        </w:r>
      </w:hyperlink>
      <w:r w:rsidDel="00000000" w:rsidR="00000000" w:rsidRPr="00000000">
        <w:rPr>
          <w:rFonts w:ascii="Times New Roman" w:cs="Times New Roman" w:eastAsia="Times New Roman" w:hAnsi="Times New Roman"/>
          <w:sz w:val="24"/>
          <w:szCs w:val="24"/>
          <w:rtl w:val="0"/>
        </w:rPr>
        <w:t xml:space="preserve">&gt;. Acesso em 09 nov. 2022.</w:t>
      </w:r>
      <w:r w:rsidDel="00000000" w:rsidR="00000000" w:rsidRPr="00000000">
        <w:rPr>
          <w:rtl w:val="0"/>
        </w:rPr>
      </w:r>
    </w:p>
    <w:p w:rsidR="00000000" w:rsidDel="00000000" w:rsidP="00000000" w:rsidRDefault="00000000" w:rsidRPr="00000000" w14:paraId="00000152">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Lei nº 8.906, de 4 de julho de 1994. Dispõe sobre o Estatuto da Advocacia e a Ordem dos Advogados do Brasil (OAB). Brasília, 1994. Disponível em:&lt;http://www.planalto.gov.br/ccivil_03/leis/l8906.htm&gt;. Acesso em: 05 nov. 2022.</w:t>
      </w:r>
      <w:r w:rsidDel="00000000" w:rsidR="00000000" w:rsidRPr="00000000">
        <w:rPr>
          <w:rtl w:val="0"/>
        </w:rPr>
      </w:r>
    </w:p>
    <w:p w:rsidR="00000000" w:rsidDel="00000000" w:rsidP="00000000" w:rsidRDefault="00000000" w:rsidRPr="00000000" w14:paraId="00000153">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Lei nº 10.406 de 10 de janeiro de 2002. Código Civil. Brasília, 2002. Disponível em:&lt;http://www.planalto.gov.br/ccivil_03/leis/2002/l10406compilada.htm&gt;. Acesso em: 05 nov. 2022.</w:t>
      </w:r>
      <w:r w:rsidDel="00000000" w:rsidR="00000000" w:rsidRPr="00000000">
        <w:rPr>
          <w:rtl w:val="0"/>
        </w:rPr>
      </w:r>
    </w:p>
    <w:p w:rsidR="00000000" w:rsidDel="00000000" w:rsidP="00000000" w:rsidRDefault="00000000" w:rsidRPr="00000000" w14:paraId="00000154">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BRASIL. Lei nº </w:t>
      </w:r>
      <w:hyperlink r:id="rId27">
        <w:r w:rsidDel="00000000" w:rsidR="00000000" w:rsidRPr="00000000">
          <w:rPr>
            <w:rFonts w:ascii="Times New Roman" w:cs="Times New Roman" w:eastAsia="Times New Roman" w:hAnsi="Times New Roman"/>
            <w:sz w:val="24"/>
            <w:szCs w:val="24"/>
            <w:rtl w:val="0"/>
          </w:rPr>
          <w:t xml:space="preserve">11.343, de 23 de agosto de 2006</w:t>
        </w:r>
      </w:hyperlink>
      <w:r w:rsidDel="00000000" w:rsidR="00000000" w:rsidRPr="00000000">
        <w:rPr>
          <w:rFonts w:ascii="Times New Roman" w:cs="Times New Roman" w:eastAsia="Times New Roman" w:hAnsi="Times New Roman"/>
          <w:sz w:val="24"/>
          <w:szCs w:val="24"/>
          <w:rtl w:val="0"/>
        </w:rPr>
        <w:t xml:space="preserve">. Sistema Nacional de Políticas Públicas sobre Drogas. Brasília. Disponível em: &lt;https://www.planalto.gov.br/ccivil_03/_ato2004-2006/2006/lei/l11343.htm&gt; . Acesso em: 09 nov. 2022. </w:t>
      </w:r>
      <w:r w:rsidDel="00000000" w:rsidR="00000000" w:rsidRPr="00000000">
        <w:rPr>
          <w:rtl w:val="0"/>
        </w:rPr>
      </w:r>
    </w:p>
    <w:p w:rsidR="00000000" w:rsidDel="00000000" w:rsidP="00000000" w:rsidRDefault="00000000" w:rsidRPr="00000000" w14:paraId="00000155">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Lei 13.105 de 16 de março de 2015. Código de Processo Civil. Disponível em: &lt;https://www.planalto.gov.br/ccivil_03/_ato2015-2018/2015/lei/l13105.htm&gt;. Acesso em: 05 nov. 2022.</w:t>
      </w:r>
      <w:r w:rsidDel="00000000" w:rsidR="00000000" w:rsidRPr="00000000">
        <w:rPr>
          <w:rtl w:val="0"/>
        </w:rPr>
      </w:r>
    </w:p>
    <w:p w:rsidR="00000000" w:rsidDel="00000000" w:rsidP="00000000" w:rsidRDefault="00000000" w:rsidRPr="00000000" w14:paraId="00000156">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Resolução n. 02/2015 - Código de Ética e Disciplina da OAB, 2015. Disponível em: &lt; https://www.oab.org.br/publicacoes/AbrirPDF?LivroId=0000004085 &gt;. Acesso em: 05 nov. 2022.</w:t>
      </w:r>
      <w:r w:rsidDel="00000000" w:rsidR="00000000" w:rsidRPr="00000000">
        <w:rPr>
          <w:rtl w:val="0"/>
        </w:rPr>
      </w:r>
    </w:p>
    <w:p w:rsidR="00000000" w:rsidDel="00000000" w:rsidP="00000000" w:rsidRDefault="00000000" w:rsidRPr="00000000" w14:paraId="00000157">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Superior Tribunal de Justiça. Recurso Especial nº 1.675.996/SP. Agravante: BRASKEM S/A. Agravado: Quatro Cantos Indústria e Comércio de Embalagens - EIRELI.  Relator: Ministro Paulo de Tarso Sanseverino. 27 de agosto de 2019.</w:t>
      </w:r>
      <w:r w:rsidDel="00000000" w:rsidR="00000000" w:rsidRPr="00000000">
        <w:rPr>
          <w:rtl w:val="0"/>
        </w:rPr>
      </w:r>
    </w:p>
    <w:p w:rsidR="00000000" w:rsidDel="00000000" w:rsidP="00000000" w:rsidRDefault="00000000" w:rsidRPr="00000000" w14:paraId="00000158">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BRASIL, Superior Tribunal de Justiça. Agravo Interno em Recurso Especial nº 1.134.709/MG. Agravante: Vera Elisete Vera Livero. Agravado: Maria de Lourdes Cretella. Relatora: Ministra Maria Isabel Gallotti. 19 de maio de 2015.</w:t>
      </w:r>
      <w:r w:rsidDel="00000000" w:rsidR="00000000" w:rsidRPr="00000000">
        <w:rPr>
          <w:rtl w:val="0"/>
        </w:rPr>
      </w:r>
    </w:p>
    <w:p w:rsidR="00000000" w:rsidDel="00000000" w:rsidP="00000000" w:rsidRDefault="00000000" w:rsidRPr="00000000" w14:paraId="00000159">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BRASIL. Supremo Tribunal Federal. Agravo Regimental em Recurso Ordinário em Habeas Corpus nº 171.571. Agravante: GHEISLLER MELO FAGUNDES DE LIMA. Agravado: MINISTÉRIO PÚBLICO DO ESTADO DE GOIÁS. Relator: MIN. RICARDO LEWANDOWSKI. Goiás, 06 de agosto de 2019. DJe 16/8/2019.</w:t>
      </w:r>
      <w:r w:rsidDel="00000000" w:rsidR="00000000" w:rsidRPr="00000000">
        <w:rPr>
          <w:rtl w:val="0"/>
        </w:rPr>
      </w:r>
    </w:p>
    <w:p w:rsidR="00000000" w:rsidDel="00000000" w:rsidP="00000000" w:rsidRDefault="00000000" w:rsidRPr="00000000" w14:paraId="0000015A">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BRASIL. Tribunal Regional Federal da 1ª Região. Agravo de Instrumento nº 1020485-72.2019.4.01.0000. Agravante: Juraci Lourdes Pereira. Agravado: Instituto Nacional do Seguro Social - INSS. Relator: Desembargador João Luiz de Sousa.  11 de março de 2022.</w:t>
      </w:r>
      <w:r w:rsidDel="00000000" w:rsidR="00000000" w:rsidRPr="00000000">
        <w:rPr>
          <w:rtl w:val="0"/>
        </w:rPr>
      </w:r>
    </w:p>
    <w:p w:rsidR="00000000" w:rsidDel="00000000" w:rsidP="00000000" w:rsidRDefault="00000000" w:rsidRPr="00000000" w14:paraId="0000015B">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BRITO, Alexis Couto De.</w:t>
      </w:r>
      <w:r w:rsidDel="00000000" w:rsidR="00000000" w:rsidRPr="00000000">
        <w:rPr>
          <w:rFonts w:ascii="Times New Roman" w:cs="Times New Roman" w:eastAsia="Times New Roman" w:hAnsi="Times New Roman"/>
          <w:b w:val="1"/>
          <w:sz w:val="24"/>
          <w:szCs w:val="24"/>
          <w:rtl w:val="0"/>
        </w:rPr>
        <w:t xml:space="preserve"> Execução Penal</w:t>
      </w:r>
      <w:r w:rsidDel="00000000" w:rsidR="00000000" w:rsidRPr="00000000">
        <w:rPr>
          <w:rFonts w:ascii="Times New Roman" w:cs="Times New Roman" w:eastAsia="Times New Roman" w:hAnsi="Times New Roman"/>
          <w:sz w:val="24"/>
          <w:szCs w:val="24"/>
          <w:rtl w:val="0"/>
        </w:rPr>
        <w:t xml:space="preserve">. São Paulo. Editora Saraiva, 2022. Disponível em: &lt;https://integrada.minhabiblioteca.com.br/#/books/9786555596960/&gt;. Acesso em: 09 nov. 2022.</w:t>
      </w:r>
      <w:r w:rsidDel="00000000" w:rsidR="00000000" w:rsidRPr="00000000">
        <w:rPr>
          <w:rtl w:val="0"/>
        </w:rPr>
      </w:r>
    </w:p>
    <w:p w:rsidR="00000000" w:rsidDel="00000000" w:rsidP="00000000" w:rsidRDefault="00000000" w:rsidRPr="00000000" w14:paraId="0000015C">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Processo Penal</w:t>
      </w:r>
      <w:r w:rsidDel="00000000" w:rsidR="00000000" w:rsidRPr="00000000">
        <w:rPr>
          <w:rFonts w:ascii="Times New Roman" w:cs="Times New Roman" w:eastAsia="Times New Roman" w:hAnsi="Times New Roman"/>
          <w:sz w:val="24"/>
          <w:szCs w:val="24"/>
          <w:rtl w:val="0"/>
        </w:rPr>
        <w:t xml:space="preserve"> – 29. ed. – São Paulo : SaraivaJur, 2022.</w:t>
      </w:r>
      <w:r w:rsidDel="00000000" w:rsidR="00000000" w:rsidRPr="00000000">
        <w:rPr>
          <w:rtl w:val="0"/>
        </w:rPr>
      </w:r>
    </w:p>
    <w:p w:rsidR="00000000" w:rsidDel="00000000" w:rsidP="00000000" w:rsidRDefault="00000000" w:rsidRPr="00000000" w14:paraId="0000015D">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DINIZ, Maria H. </w:t>
      </w:r>
      <w:r w:rsidDel="00000000" w:rsidR="00000000" w:rsidRPr="00000000">
        <w:rPr>
          <w:rFonts w:ascii="Times New Roman" w:cs="Times New Roman" w:eastAsia="Times New Roman" w:hAnsi="Times New Roman"/>
          <w:b w:val="1"/>
          <w:sz w:val="24"/>
          <w:szCs w:val="24"/>
          <w:rtl w:val="0"/>
        </w:rPr>
        <w:t xml:space="preserve">Curso de direito civil brasileiro: teoria das obrigações contratuais e extracontratuais</w:t>
      </w:r>
      <w:r w:rsidDel="00000000" w:rsidR="00000000" w:rsidRPr="00000000">
        <w:rPr>
          <w:rFonts w:ascii="Times New Roman" w:cs="Times New Roman" w:eastAsia="Times New Roman" w:hAnsi="Times New Roman"/>
          <w:sz w:val="24"/>
          <w:szCs w:val="24"/>
          <w:rtl w:val="0"/>
        </w:rPr>
        <w:t xml:space="preserve"> - 38. ed. - v.3. São Paulo: SaraivaJur, 2022. E-book. Disponível em: &lt; https://integrada.minhabiblioteca.com.br/#/books/9786555598711/&gt;. Acesso em: 04 nov. 2022.</w:t>
      </w:r>
      <w:r w:rsidDel="00000000" w:rsidR="00000000" w:rsidRPr="00000000">
        <w:rPr>
          <w:rtl w:val="0"/>
        </w:rPr>
      </w:r>
    </w:p>
    <w:p w:rsidR="00000000" w:rsidDel="00000000" w:rsidP="00000000" w:rsidRDefault="00000000" w:rsidRPr="00000000" w14:paraId="0000015E">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ESTEFAM, André.; GONÇALVES, Vinicius Eduardo Rios. </w:t>
      </w:r>
      <w:r w:rsidDel="00000000" w:rsidR="00000000" w:rsidRPr="00000000">
        <w:rPr>
          <w:rFonts w:ascii="Times New Roman" w:cs="Times New Roman" w:eastAsia="Times New Roman" w:hAnsi="Times New Roman"/>
          <w:b w:val="1"/>
          <w:sz w:val="24"/>
          <w:szCs w:val="24"/>
          <w:rtl w:val="0"/>
        </w:rPr>
        <w:t xml:space="preserve">Esquematizado - Direito Penal - Parte Geral</w:t>
      </w:r>
      <w:r w:rsidDel="00000000" w:rsidR="00000000" w:rsidRPr="00000000">
        <w:rPr>
          <w:rFonts w:ascii="Times New Roman" w:cs="Times New Roman" w:eastAsia="Times New Roman" w:hAnsi="Times New Roman"/>
          <w:sz w:val="24"/>
          <w:szCs w:val="24"/>
          <w:rtl w:val="0"/>
        </w:rPr>
        <w:t xml:space="preserve">. São Paulo. Editora Saraiva, 2022. Disponível em: &lt;https://integrada.minhabiblioteca.com.br/#/books/9786555596434/&gt;. Acesso em: 09 Nov 2022</w:t>
      </w:r>
      <w:r w:rsidDel="00000000" w:rsidR="00000000" w:rsidRPr="00000000">
        <w:rPr>
          <w:rtl w:val="0"/>
        </w:rPr>
      </w:r>
    </w:p>
    <w:p w:rsidR="00000000" w:rsidDel="00000000" w:rsidP="00000000" w:rsidRDefault="00000000" w:rsidRPr="00000000" w14:paraId="0000015F">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FUX, Luiz. </w:t>
      </w:r>
      <w:r w:rsidDel="00000000" w:rsidR="00000000" w:rsidRPr="00000000">
        <w:rPr>
          <w:rFonts w:ascii="Times New Roman" w:cs="Times New Roman" w:eastAsia="Times New Roman" w:hAnsi="Times New Roman"/>
          <w:b w:val="1"/>
          <w:sz w:val="24"/>
          <w:szCs w:val="24"/>
          <w:rtl w:val="0"/>
        </w:rPr>
        <w:t xml:space="preserve">Curso de Direito Processual Civil</w:t>
      </w:r>
      <w:r w:rsidDel="00000000" w:rsidR="00000000" w:rsidRPr="00000000">
        <w:rPr>
          <w:rFonts w:ascii="Times New Roman" w:cs="Times New Roman" w:eastAsia="Times New Roman" w:hAnsi="Times New Roman"/>
          <w:sz w:val="24"/>
          <w:szCs w:val="24"/>
          <w:rtl w:val="0"/>
        </w:rPr>
        <w:t xml:space="preserve"> - 5. ed. Rio de Janeiro: Forense, 2022. E-book. Disponível em: &lt;https://integrada.minhabiblioteca.com.br/#/books/9786559645466/&gt;. Acesso em: 06 nov. 2022.</w:t>
      </w:r>
      <w:r w:rsidDel="00000000" w:rsidR="00000000" w:rsidRPr="00000000">
        <w:rPr>
          <w:rtl w:val="0"/>
        </w:rPr>
      </w:r>
    </w:p>
    <w:p w:rsidR="00000000" w:rsidDel="00000000" w:rsidP="00000000" w:rsidRDefault="00000000" w:rsidRPr="00000000" w14:paraId="00000160">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GONÇALVES, Marcus Vinicius R. Esquematizado - </w:t>
      </w:r>
      <w:r w:rsidDel="00000000" w:rsidR="00000000" w:rsidRPr="00000000">
        <w:rPr>
          <w:rFonts w:ascii="Times New Roman" w:cs="Times New Roman" w:eastAsia="Times New Roman" w:hAnsi="Times New Roman"/>
          <w:b w:val="1"/>
          <w:sz w:val="24"/>
          <w:szCs w:val="24"/>
          <w:rtl w:val="0"/>
        </w:rPr>
        <w:t xml:space="preserve">Direito Processual Civil </w:t>
      </w:r>
      <w:r w:rsidDel="00000000" w:rsidR="00000000" w:rsidRPr="00000000">
        <w:rPr>
          <w:rFonts w:ascii="Times New Roman" w:cs="Times New Roman" w:eastAsia="Times New Roman" w:hAnsi="Times New Roman"/>
          <w:sz w:val="24"/>
          <w:szCs w:val="24"/>
          <w:rtl w:val="0"/>
        </w:rPr>
        <w:t xml:space="preserve">- 13. ed</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São Paulo: Editora Saraiva, 2022. E-book. Disponível em: &lt; https://integrada.minhabiblioteca.com.br/#/books/9786555597103/&gt;. Acesso em: 20 out. 2022.</w:t>
      </w:r>
      <w:r w:rsidDel="00000000" w:rsidR="00000000" w:rsidRPr="00000000">
        <w:rPr>
          <w:rtl w:val="0"/>
        </w:rPr>
      </w:r>
    </w:p>
    <w:p w:rsidR="00000000" w:rsidDel="00000000" w:rsidP="00000000" w:rsidRDefault="00000000" w:rsidRPr="00000000" w14:paraId="00000161">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JÚNIOR, Humberto T. </w:t>
      </w:r>
      <w:r w:rsidDel="00000000" w:rsidR="00000000" w:rsidRPr="00000000">
        <w:rPr>
          <w:rFonts w:ascii="Times New Roman" w:cs="Times New Roman" w:eastAsia="Times New Roman" w:hAnsi="Times New Roman"/>
          <w:b w:val="1"/>
          <w:sz w:val="24"/>
          <w:szCs w:val="24"/>
          <w:rtl w:val="0"/>
        </w:rPr>
        <w:t xml:space="preserve">Curso de Direito Processual Civil</w:t>
      </w:r>
      <w:r w:rsidDel="00000000" w:rsidR="00000000" w:rsidRPr="00000000">
        <w:rPr>
          <w:rFonts w:ascii="Times New Roman" w:cs="Times New Roman" w:eastAsia="Times New Roman" w:hAnsi="Times New Roman"/>
          <w:sz w:val="24"/>
          <w:szCs w:val="24"/>
          <w:rtl w:val="0"/>
        </w:rPr>
        <w:t xml:space="preserve"> - 55. ed - Vol. 3. Rio de Janeiro: Forense, 2022. E-book. Disponível em: &lt;https://integrada.minhabiblioteca.com.br/#/books/9786559642373/&gt;. Acesso em: 20 out. 2022.</w:t>
      </w:r>
      <w:r w:rsidDel="00000000" w:rsidR="00000000" w:rsidRPr="00000000">
        <w:rPr>
          <w:rtl w:val="0"/>
        </w:rPr>
      </w:r>
    </w:p>
    <w:p w:rsidR="00000000" w:rsidDel="00000000" w:rsidP="00000000" w:rsidRDefault="00000000" w:rsidRPr="00000000" w14:paraId="00000162">
      <w:pPr>
        <w:spacing w:after="200" w:before="0" w:line="240" w:lineRule="auto"/>
        <w:jc w:val="both"/>
        <w:rPr/>
      </w:pPr>
      <w:r w:rsidDel="00000000" w:rsidR="00000000" w:rsidRPr="00000000">
        <w:rPr>
          <w:rFonts w:ascii="Times New Roman" w:cs="Times New Roman" w:eastAsia="Times New Roman" w:hAnsi="Times New Roman"/>
          <w:sz w:val="24"/>
          <w:szCs w:val="24"/>
          <w:rtl w:val="0"/>
        </w:rPr>
        <w:t xml:space="preserve">NUCCI, Guilherme De Souza. </w:t>
      </w:r>
      <w:r w:rsidDel="00000000" w:rsidR="00000000" w:rsidRPr="00000000">
        <w:rPr>
          <w:rFonts w:ascii="Times New Roman" w:cs="Times New Roman" w:eastAsia="Times New Roman" w:hAnsi="Times New Roman"/>
          <w:b w:val="1"/>
          <w:sz w:val="24"/>
          <w:szCs w:val="24"/>
          <w:rtl w:val="0"/>
        </w:rPr>
        <w:t xml:space="preserve">Curso de Direito Penal - Parte Geral - Vol. 1</w:t>
      </w:r>
      <w:r w:rsidDel="00000000" w:rsidR="00000000" w:rsidRPr="00000000">
        <w:rPr>
          <w:rFonts w:ascii="Times New Roman" w:cs="Times New Roman" w:eastAsia="Times New Roman" w:hAnsi="Times New Roman"/>
          <w:sz w:val="24"/>
          <w:szCs w:val="24"/>
          <w:rtl w:val="0"/>
        </w:rPr>
        <w:t xml:space="preserve">. Rio de Janeiro. Grupo GEN, 2021.Disponível em: &lt;https://integrada.minhabiblioteca.com.br/#/books/9786559642403/&gt;. Acesso em: 09 Nov 2022.</w:t>
      </w:r>
      <w:r w:rsidDel="00000000" w:rsidR="00000000" w:rsidRPr="00000000">
        <w:rPr>
          <w:rtl w:val="0"/>
        </w:rPr>
      </w:r>
    </w:p>
    <w:p w:rsidR="00000000" w:rsidDel="00000000" w:rsidP="00000000" w:rsidRDefault="00000000" w:rsidRPr="00000000" w14:paraId="00000163">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NUCCI, Guilherme de Souza. </w:t>
      </w:r>
      <w:r w:rsidDel="00000000" w:rsidR="00000000" w:rsidRPr="00000000">
        <w:rPr>
          <w:rFonts w:ascii="Times New Roman" w:cs="Times New Roman" w:eastAsia="Times New Roman" w:hAnsi="Times New Roman"/>
          <w:b w:val="1"/>
          <w:sz w:val="24"/>
          <w:szCs w:val="24"/>
          <w:rtl w:val="0"/>
        </w:rPr>
        <w:t xml:space="preserve">Curso de direito processual penal </w:t>
      </w:r>
      <w:r w:rsidDel="00000000" w:rsidR="00000000" w:rsidRPr="00000000">
        <w:rPr>
          <w:rFonts w:ascii="Times New Roman" w:cs="Times New Roman" w:eastAsia="Times New Roman" w:hAnsi="Times New Roman"/>
          <w:sz w:val="24"/>
          <w:szCs w:val="24"/>
          <w:rtl w:val="0"/>
        </w:rPr>
        <w:t xml:space="preserve">– 19. ed. – Rio de Janeiro: Forense, 2022.</w:t>
      </w:r>
      <w:r w:rsidDel="00000000" w:rsidR="00000000" w:rsidRPr="00000000">
        <w:rPr>
          <w:rtl w:val="0"/>
        </w:rPr>
      </w:r>
    </w:p>
    <w:p w:rsidR="00000000" w:rsidDel="00000000" w:rsidP="00000000" w:rsidRDefault="00000000" w:rsidRPr="00000000" w14:paraId="00000164">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PARANÁ. Tribunal de Justiça do Estado do Paraná. Habeas Corpus nº 0008705-39.2018.8.16.0000. Impetrante: GUSTAVO KRONBAUER DA LUZ(ADVOGADO). Paciente: DARLAN TRAMONTINA. Relator: DES. MIGUEL KFOURI NETO. Paraná, 12 de abril de 2018. DJe 16/4/2018.</w:t>
      </w:r>
      <w:r w:rsidDel="00000000" w:rsidR="00000000" w:rsidRPr="00000000">
        <w:rPr>
          <w:rtl w:val="0"/>
        </w:rPr>
      </w:r>
    </w:p>
    <w:p w:rsidR="00000000" w:rsidDel="00000000" w:rsidP="00000000" w:rsidRDefault="00000000" w:rsidRPr="00000000" w14:paraId="00000165">
      <w:pPr>
        <w:spacing w:after="200" w:before="0" w:line="240" w:lineRule="auto"/>
        <w:jc w:val="both"/>
        <w:rPr/>
      </w:pPr>
      <w:r w:rsidDel="00000000" w:rsidR="00000000" w:rsidRPr="00000000">
        <w:rPr>
          <w:rFonts w:ascii="Times New Roman" w:cs="Times New Roman" w:eastAsia="Times New Roman" w:hAnsi="Times New Roman"/>
          <w:color w:val="333333"/>
          <w:sz w:val="24"/>
          <w:szCs w:val="24"/>
          <w:highlight w:val="white"/>
          <w:rtl w:val="0"/>
        </w:rPr>
        <w:t xml:space="preserve">RIO DE JANEIRO. Tribunal de Justiça do Rio de Janeiro. Agravo de Instrumento nº 0035520-26.2017.8.19.0000. Agravante: João Batista de Sousa.  </w:t>
      </w:r>
      <w:r w:rsidDel="00000000" w:rsidR="00000000" w:rsidRPr="00000000">
        <w:rPr>
          <w:rFonts w:ascii="Times New Roman" w:cs="Times New Roman" w:eastAsia="Times New Roman" w:hAnsi="Times New Roman"/>
          <w:sz w:val="24"/>
          <w:szCs w:val="24"/>
          <w:rtl w:val="0"/>
        </w:rPr>
        <w:t xml:space="preserve">Agravado: Instituto Nacional do Seguro Social - INSS. Relator: </w:t>
      </w:r>
      <w:r w:rsidDel="00000000" w:rsidR="00000000" w:rsidRPr="00000000">
        <w:rPr>
          <w:rFonts w:ascii="Times New Roman" w:cs="Times New Roman" w:eastAsia="Times New Roman" w:hAnsi="Times New Roman"/>
          <w:color w:val="333333"/>
          <w:sz w:val="24"/>
          <w:szCs w:val="24"/>
          <w:highlight w:val="white"/>
          <w:rtl w:val="0"/>
        </w:rPr>
        <w:t xml:space="preserve">Desembargador José Carlos Paes. 16 de agosto de 2017.</w:t>
      </w:r>
      <w:r w:rsidDel="00000000" w:rsidR="00000000" w:rsidRPr="00000000">
        <w:rPr>
          <w:rtl w:val="0"/>
        </w:rPr>
      </w:r>
    </w:p>
    <w:p w:rsidR="00000000" w:rsidDel="00000000" w:rsidP="00000000" w:rsidRDefault="00000000" w:rsidRPr="00000000" w14:paraId="00000166">
      <w:pPr>
        <w:spacing w:after="200" w:before="0" w:line="240" w:lineRule="auto"/>
        <w:jc w:val="both"/>
        <w:rPr/>
      </w:pPr>
      <w:r w:rsidDel="00000000" w:rsidR="00000000" w:rsidRPr="00000000">
        <w:rPr>
          <w:rFonts w:ascii="Times New Roman" w:cs="Times New Roman" w:eastAsia="Times New Roman" w:hAnsi="Times New Roman"/>
          <w:color w:val="333333"/>
          <w:sz w:val="24"/>
          <w:szCs w:val="24"/>
          <w:highlight w:val="white"/>
          <w:rtl w:val="0"/>
        </w:rPr>
        <w:t xml:space="preserve">SÃO PAULO. Tribunal de Justiça de São Paulo.  Apelação Cível nº 1015755-42.2020.8.26.0068. Apelante: Deise de Carvalho e Silva Gonçalves. Apelado: Aspas Turismo, Viagens e Assistência Internacional S/A (Affinity Seguro Viagem). Relator (a): Adilson de Araujo. 20 de outubro de 2022.</w:t>
      </w:r>
      <w:r w:rsidDel="00000000" w:rsidR="00000000" w:rsidRPr="00000000">
        <w:rPr>
          <w:rtl w:val="0"/>
        </w:rPr>
      </w:r>
    </w:p>
    <w:p w:rsidR="00000000" w:rsidDel="00000000" w:rsidP="00000000" w:rsidRDefault="00000000" w:rsidRPr="00000000" w14:paraId="00000167">
      <w:pPr>
        <w:spacing w:after="200" w:before="0" w:line="240" w:lineRule="auto"/>
        <w:jc w:val="both"/>
        <w:rPr/>
      </w:pPr>
      <w:r w:rsidDel="00000000" w:rsidR="00000000" w:rsidRPr="00000000">
        <w:rPr>
          <w:rFonts w:ascii="Times New Roman" w:cs="Times New Roman" w:eastAsia="Times New Roman" w:hAnsi="Times New Roman"/>
          <w:color w:val="333333"/>
          <w:sz w:val="24"/>
          <w:szCs w:val="24"/>
          <w:highlight w:val="white"/>
          <w:rtl w:val="0"/>
        </w:rPr>
        <w:t xml:space="preserve">SÃO PAULO. Tribunal de Justiça de São Paulo. Apelação Cível nº 1004670-23.2017.8.26.0405. Apelante: Andre Marcolino de Siqueira. Apelado: Vagner Henrique Benedito. Relator (a): Tavares de Almeida. 24 de novembro de 2020.</w:t>
      </w:r>
      <w:r w:rsidDel="00000000" w:rsidR="00000000" w:rsidRPr="00000000">
        <w:rPr>
          <w:rtl w:val="0"/>
        </w:rPr>
      </w:r>
    </w:p>
    <w:p w:rsidR="00000000" w:rsidDel="00000000" w:rsidP="00000000" w:rsidRDefault="00000000" w:rsidRPr="00000000" w14:paraId="00000168">
      <w:pPr>
        <w:spacing w:after="200" w:before="240" w:line="240" w:lineRule="auto"/>
        <w:jc w:val="both"/>
        <w:rPr/>
      </w:pPr>
      <w:r w:rsidDel="00000000" w:rsidR="00000000" w:rsidRPr="00000000">
        <w:rPr>
          <w:rFonts w:ascii="Times New Roman" w:cs="Times New Roman" w:eastAsia="Times New Roman" w:hAnsi="Times New Roman"/>
          <w:sz w:val="24"/>
          <w:szCs w:val="24"/>
          <w:rtl w:val="0"/>
        </w:rPr>
        <w:t xml:space="preserve">TARTUCE, Flávio. </w:t>
      </w:r>
      <w:r w:rsidDel="00000000" w:rsidR="00000000" w:rsidRPr="00000000">
        <w:rPr>
          <w:rFonts w:ascii="Times New Roman" w:cs="Times New Roman" w:eastAsia="Times New Roman" w:hAnsi="Times New Roman"/>
          <w:b w:val="1"/>
          <w:sz w:val="24"/>
          <w:szCs w:val="24"/>
          <w:rtl w:val="0"/>
        </w:rPr>
        <w:t xml:space="preserve">Direito Civil: Teoria Geral dos Contratos e Contratos em Espécie</w:t>
      </w:r>
      <w:r w:rsidDel="00000000" w:rsidR="00000000" w:rsidRPr="00000000">
        <w:rPr>
          <w:rFonts w:ascii="Times New Roman" w:cs="Times New Roman" w:eastAsia="Times New Roman" w:hAnsi="Times New Roman"/>
          <w:sz w:val="24"/>
          <w:szCs w:val="24"/>
          <w:rtl w:val="0"/>
        </w:rPr>
        <w:t xml:space="preserve"> - 17. ed. - v.3. Rio de Janeiro: Forense, 2022. E-book. Disponível em: &lt;https://integrada.minhabiblioteca.com.br/#/books/9786559643608/. Acesso em: 05 nov. 2022.</w:t>
      </w:r>
      <w:r w:rsidDel="00000000" w:rsidR="00000000" w:rsidRPr="00000000">
        <w:rPr>
          <w:rtl w:val="0"/>
        </w:rPr>
      </w:r>
    </w:p>
    <w:p w:rsidR="00000000" w:rsidDel="00000000" w:rsidP="00000000" w:rsidRDefault="00000000" w:rsidRPr="00000000" w14:paraId="00000169">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VALENTE, Rubem. </w:t>
      </w:r>
      <w:r w:rsidDel="00000000" w:rsidR="00000000" w:rsidRPr="00000000">
        <w:rPr>
          <w:rFonts w:ascii="Times New Roman" w:cs="Times New Roman" w:eastAsia="Times New Roman" w:hAnsi="Times New Roman"/>
          <w:b w:val="1"/>
          <w:sz w:val="24"/>
          <w:szCs w:val="24"/>
          <w:rtl w:val="0"/>
        </w:rPr>
        <w:t xml:space="preserve">Direito Civil Facilitado</w:t>
      </w:r>
      <w:r w:rsidDel="00000000" w:rsidR="00000000" w:rsidRPr="00000000">
        <w:rPr>
          <w:rFonts w:ascii="Times New Roman" w:cs="Times New Roman" w:eastAsia="Times New Roman" w:hAnsi="Times New Roman"/>
          <w:sz w:val="24"/>
          <w:szCs w:val="24"/>
          <w:rtl w:val="0"/>
        </w:rPr>
        <w:t xml:space="preserve"> - 2. ed. Rio de Janeiro: Método, 2022. E-book. Disponível em: &lt;https://integrada.minhabiblioteca.com.br/#/books/9786559645510/&gt;. Acesso em: 04 nov. 2022.</w:t>
      </w:r>
      <w:r w:rsidDel="00000000" w:rsidR="00000000" w:rsidRPr="00000000">
        <w:rPr>
          <w:rtl w:val="0"/>
        </w:rPr>
      </w:r>
    </w:p>
    <w:p w:rsidR="00000000" w:rsidDel="00000000" w:rsidP="00000000" w:rsidRDefault="00000000" w:rsidRPr="00000000" w14:paraId="0000016A">
      <w:pPr>
        <w:keepNext w:val="0"/>
        <w:keepLines w:val="0"/>
        <w:pageBreakBefore w:val="0"/>
        <w:widowControl w:val="1"/>
        <w:shd w:fill="auto" w:val="clear"/>
        <w:spacing w:after="200" w:before="240" w:line="240"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VENOSA, Sílvio de S. </w:t>
      </w:r>
      <w:r w:rsidDel="00000000" w:rsidR="00000000" w:rsidRPr="00000000">
        <w:rPr>
          <w:rFonts w:ascii="Times New Roman" w:cs="Times New Roman" w:eastAsia="Times New Roman" w:hAnsi="Times New Roman"/>
          <w:b w:val="1"/>
          <w:sz w:val="24"/>
          <w:szCs w:val="24"/>
          <w:rtl w:val="0"/>
        </w:rPr>
        <w:t xml:space="preserve">Direito Civil: Contratos</w:t>
      </w:r>
      <w:r w:rsidDel="00000000" w:rsidR="00000000" w:rsidRPr="00000000">
        <w:rPr>
          <w:rFonts w:ascii="Times New Roman" w:cs="Times New Roman" w:eastAsia="Times New Roman" w:hAnsi="Times New Roman"/>
          <w:sz w:val="24"/>
          <w:szCs w:val="24"/>
          <w:rtl w:val="0"/>
        </w:rPr>
        <w:t xml:space="preserve"> - 22. ed - v.3. Barueri: Atlas, 2022. E-book. Disponível em: &lt;https://integrada.minhabiblioteca.com.br/#/books/9786559772773/&gt;. Acesso em: 05 nov. 2022.</w:t>
      </w:r>
      <w:r w:rsidDel="00000000" w:rsidR="00000000" w:rsidRPr="00000000">
        <w:rPr>
          <w:rtl w:val="0"/>
        </w:rPr>
      </w:r>
    </w:p>
    <w:p w:rsidR="00000000" w:rsidDel="00000000" w:rsidP="00000000" w:rsidRDefault="00000000" w:rsidRPr="00000000" w14:paraId="0000016B">
      <w:pPr>
        <w:spacing w:after="200" w:before="0" w:line="240" w:lineRule="auto"/>
        <w:ind w:firstLine="850"/>
        <w:jc w:val="both"/>
        <w:rPr/>
      </w:pPr>
      <w:r w:rsidDel="00000000" w:rsidR="00000000" w:rsidRPr="00000000">
        <w:rPr>
          <w:rtl w:val="0"/>
        </w:rPr>
      </w:r>
    </w:p>
    <w:sectPr>
      <w:headerReference r:id="rId28" w:type="default"/>
      <w:headerReference r:id="rId29" w:type="first"/>
      <w:footerReference r:id="rId30" w:type="default"/>
      <w:footerReference r:id="rId31" w:type="first"/>
      <w:type w:val="nextPage"/>
      <w:pgSz w:h="16838" w:w="11906" w:orient="portrait"/>
      <w:pgMar w:bottom="363" w:top="1133" w:left="1417"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Juliana Marques Borsari" w:id="11" w:date="2022-11-14T23:00:12Z">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4" w:date="2022-11-21T17:43:29Z">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apurar...</w:t>
      </w:r>
    </w:p>
  </w:comment>
  <w:comment w:author="Fabricio Silva Nicola" w:id="2" w:date="2022-11-21T17:42:06Z">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Interrogatório ocorrido na fase inquisitorial!</w:t>
      </w:r>
    </w:p>
  </w:comment>
  <w:comment w:author="William Cardozo Silva" w:id="0" w:date="2022-11-21T21:45:10Z">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Civil e Processo Civil. Nota: 2</w:t>
      </w:r>
    </w:p>
  </w:comment>
  <w:comment w:author="Fabricio Silva Nicola" w:id="8" w:date="2022-11-21T17:47:38Z">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Ok</w:t>
      </w:r>
    </w:p>
  </w:comment>
  <w:comment w:author="Fabricio Silva Nicola" w:id="6" w:date="2022-11-21T17:46:31Z">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Correto</w:t>
      </w:r>
    </w:p>
  </w:comment>
  <w:comment w:author="Fabricio Silva Nicola" w:id="10" w:date="2022-11-21T17:49:12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3" w:date="2022-11-21T17:43:14Z">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Noutro parágrafo.</w:t>
      </w:r>
    </w:p>
  </w:comment>
  <w:comment w:author="Fabricio Silva Nicola" w:id="7" w:date="2022-11-21T17:46:54Z">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6º e não "6".</w:t>
      </w:r>
    </w:p>
  </w:comment>
  <w:comment w:author="Fabricio Silva Nicola" w:id="5" w:date="2022-11-21T17:45:27Z">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Acho temerosa essa afirmação, pois a ação só será efetivamente "instaurada" e consequentemente formada na sua totalidade quando o juiz receber a denúncia e, consequentemente, mandar citar o acusado para que oferte sua resposta à acusação.</w:t>
      </w:r>
    </w:p>
  </w:comment>
  <w:comment w:author="Fabricio Silva Nicola" w:id="1" w:date="2022-11-21T17:50:45Z">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9" w:date="2022-11-21T17:48:54Z">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Isso nada tem a ver com o questionamento.</w:t>
      </w:r>
    </w:p>
  </w:comment>
  <w:comment w:author="William Cardozo Silva" w:id="12" w:date="2022-11-21T21:42:53Z">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Convém mencionar por extenso.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7E" w15:done="0"/>
  <w15:commentEx w15:paraId="0000017F" w15:done="0"/>
  <w15:commentEx w15:paraId="00000180" w15:done="0"/>
  <w15:commentEx w15:paraId="00000181" w15:done="0"/>
  <w15:commentEx w15:paraId="00000182" w15:done="0"/>
  <w15:commentEx w15:paraId="00000183" w15:done="0"/>
  <w15:commentEx w15:paraId="00000184" w15:done="0"/>
  <w15:commentEx w15:paraId="00000185" w15:done="0"/>
  <w15:commentEx w15:paraId="00000186" w15:done="0"/>
  <w15:commentEx w15:paraId="00000187" w15:done="0"/>
  <w15:commentEx w15:paraId="00000188" w15:done="0"/>
  <w15:commentEx w15:paraId="00000189" w15:done="0"/>
  <w15:commentEx w15:paraId="0000018A"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3">
    <w:pPr>
      <w:widowControl w:val="1"/>
      <w:spacing w:after="160" w:before="0" w:line="259" w:lineRule="auto"/>
      <w:jc w:val="lef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4">
    <w:pPr>
      <w:tabs>
        <w:tab w:val="center" w:pos="4252"/>
        <w:tab w:val="right" w:pos="8504"/>
      </w:tabs>
      <w:spacing w:after="0" w:before="0" w:line="240" w:lineRule="auto"/>
      <w:jc w:val="right"/>
      <w:rPr>
        <w:rFonts w:ascii="Arial" w:cs="Arial" w:eastAsia="Arial" w:hAnsi="Arial"/>
        <w:b w:val="1"/>
        <w:sz w:val="20"/>
        <w:szCs w:val="20"/>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5">
    <w:pPr>
      <w:spacing w:after="160" w:before="0" w:lineRule="auto"/>
      <w:jc w:val="right"/>
      <w:rPr>
        <w:rFonts w:ascii="Arial" w:cs="Arial" w:eastAsia="Arial" w:hAnsi="Arial"/>
        <w:b w:val="1"/>
        <w:sz w:val="20"/>
        <w:szCs w:val="20"/>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6">
    <w:pPr>
      <w:pBdr>
        <w:bottom w:color="000000" w:space="1" w:sz="12" w:val="single"/>
      </w:pBdr>
      <w:tabs>
        <w:tab w:val="center" w:pos="4252"/>
        <w:tab w:val="right" w:pos="8504"/>
      </w:tabs>
      <w:spacing w:after="0" w:before="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7">
    <w:pPr>
      <w:pBdr>
        <w:bottom w:color="000000" w:space="1" w:sz="12" w:val="single"/>
      </w:pBdr>
      <w:tabs>
        <w:tab w:val="center" w:pos="4252"/>
        <w:tab w:val="right" w:pos="8504"/>
      </w:tabs>
      <w:spacing w:after="0" w:before="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8">
    <w:pPr>
      <w:tabs>
        <w:tab w:val="center" w:pos="4252"/>
        <w:tab w:val="right" w:pos="8504"/>
      </w:tabs>
      <w:spacing w:after="0" w:before="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9">
    <w:pPr>
      <w:tabs>
        <w:tab w:val="center" w:pos="4252"/>
        <w:tab w:val="right" w:pos="8504"/>
      </w:tabs>
      <w:spacing w:after="0" w:before="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7A">
    <w:pPr>
      <w:tabs>
        <w:tab w:val="center" w:pos="4252"/>
        <w:tab w:val="right" w:pos="8504"/>
      </w:tabs>
      <w:spacing w:after="0" w:before="0" w:line="240" w:lineRule="auto"/>
      <w:jc w:val="right"/>
      <w:rPr>
        <w:rFonts w:ascii="Arial" w:cs="Arial" w:eastAsia="Arial" w:hAnsi="Arial"/>
        <w:b w:val="1"/>
        <w:sz w:val="20"/>
        <w:szCs w:val="20"/>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spacing w:after="160" w:before="0" w:lineRule="auto"/>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D">
    <w:pPr>
      <w:tabs>
        <w:tab w:val="center" w:pos="4252"/>
        <w:tab w:val="right" w:pos="8504"/>
      </w:tabs>
      <w:spacing w:after="0" w:before="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E">
    <w:pPr>
      <w:spacing w:after="160" w:before="0" w:lineRule="auto"/>
      <w:jc w:val="center"/>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F">
    <w:pPr>
      <w:tabs>
        <w:tab w:val="center" w:pos="4252"/>
        <w:tab w:val="right" w:pos="8504"/>
      </w:tabs>
      <w:spacing w:after="0" w:before="0" w:line="240" w:lineRule="auto"/>
      <w:rPr/>
    </w:pPr>
    <w:r w:rsidDel="00000000" w:rsidR="00000000" w:rsidRPr="00000000">
      <w:rPr>
        <w:rtl w:val="0"/>
      </w:rPr>
    </w:r>
  </w:p>
  <w:tbl>
    <w:tblPr>
      <w:tblStyle w:val="Table4"/>
      <w:tblW w:w="9164.0" w:type="dxa"/>
      <w:jc w:val="left"/>
      <w:tblInd w:w="-65.0" w:type="dxa"/>
      <w:tblLayout w:type="fixed"/>
      <w:tblLook w:val="0600"/>
    </w:tblPr>
    <w:tblGrid>
      <w:gridCol w:w="4664"/>
      <w:gridCol w:w="4500"/>
      <w:tblGridChange w:id="0">
        <w:tblGrid>
          <w:gridCol w:w="4664"/>
          <w:gridCol w:w="4500"/>
        </w:tblGrid>
      </w:tblGridChange>
    </w:tblGrid>
    <w:tr>
      <w:trPr>
        <w:cantSplit w:val="0"/>
        <w:tblHeader w:val="0"/>
      </w:trPr>
      <w:tc>
        <w:tcPr>
          <w:shd w:fill="auto" w:val="clear"/>
          <w:vAlign w:val="center"/>
        </w:tcPr>
        <w:p w:rsidR="00000000" w:rsidDel="00000000" w:rsidP="00000000" w:rsidRDefault="00000000" w:rsidRPr="00000000" w14:paraId="00000170">
          <w:pPr>
            <w:widowControl w:val="0"/>
            <w:tabs>
              <w:tab w:val="center" w:pos="4252"/>
              <w:tab w:val="right" w:pos="8504"/>
            </w:tabs>
            <w:spacing w:after="160" w:before="0" w:lineRule="auto"/>
            <w:rPr/>
          </w:pPr>
          <w:r w:rsidDel="00000000" w:rsidR="00000000" w:rsidRPr="00000000">
            <w:rPr/>
            <w:drawing>
              <wp:inline distB="0" distT="0" distL="0" distR="0">
                <wp:extent cx="967105" cy="287655"/>
                <wp:effectExtent b="0" l="0" r="0" t="0"/>
                <wp:docPr id="1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7105" cy="287655"/>
                        </a:xfrm>
                        <a:prstGeom prst="rect"/>
                        <a:ln/>
                      </pic:spPr>
                    </pic:pic>
                  </a:graphicData>
                </a:graphic>
              </wp:inline>
            </w:drawing>
          </w:r>
          <w:r w:rsidDel="00000000" w:rsidR="00000000" w:rsidRPr="00000000">
            <w:rPr>
              <w:rtl w:val="0"/>
            </w:rPr>
          </w:r>
        </w:p>
      </w:tc>
      <w:tc>
        <w:tcPr>
          <w:shd w:fill="auto" w:val="clear"/>
          <w:vAlign w:val="center"/>
        </w:tcPr>
        <w:p w:rsidR="00000000" w:rsidDel="00000000" w:rsidP="00000000" w:rsidRDefault="00000000" w:rsidRPr="00000000" w14:paraId="00000171">
          <w:pPr>
            <w:widowControl w:val="0"/>
            <w:spacing w:after="160" w:before="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72">
    <w:pPr>
      <w:tabs>
        <w:tab w:val="center" w:pos="4252"/>
        <w:tab w:val="right" w:pos="8504"/>
      </w:tabs>
      <w:spacing w:after="0" w:before="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w:cs="Noto Sans" w:eastAsia="Noto Sans" w:hAnsi="Noto Sans"/>
        <w:u w:val="none"/>
      </w:rPr>
    </w:lvl>
    <w:lvl w:ilvl="1">
      <w:start w:val="1"/>
      <w:numFmt w:val="bullet"/>
      <w:lvlText w:val="🌕"/>
      <w:lvlJc w:val="left"/>
      <w:pPr>
        <w:ind w:left="1440" w:hanging="360"/>
      </w:pPr>
      <w:rPr>
        <w:rFonts w:ascii="Noto Sans" w:cs="Noto Sans" w:eastAsia="Noto Sans" w:hAnsi="Noto Sans"/>
        <w:u w:val="none"/>
      </w:rPr>
    </w:lvl>
    <w:lvl w:ilvl="2">
      <w:start w:val="1"/>
      <w:numFmt w:val="bullet"/>
      <w:lvlText w:val="■"/>
      <w:lvlJc w:val="left"/>
      <w:pPr>
        <w:ind w:left="2160" w:hanging="360"/>
      </w:pPr>
      <w:rPr>
        <w:rFonts w:ascii="Noto Sans" w:cs="Noto Sans" w:eastAsia="Noto Sans" w:hAnsi="Noto Sans"/>
        <w:u w:val="none"/>
      </w:rPr>
    </w:lvl>
    <w:lvl w:ilvl="3">
      <w:start w:val="1"/>
      <w:numFmt w:val="bullet"/>
      <w:lvlText w:val="●"/>
      <w:lvlJc w:val="left"/>
      <w:pPr>
        <w:ind w:left="2880" w:hanging="360"/>
      </w:pPr>
      <w:rPr>
        <w:rFonts w:ascii="Noto Sans" w:cs="Noto Sans" w:eastAsia="Noto Sans" w:hAnsi="Noto Sans"/>
        <w:u w:val="none"/>
      </w:rPr>
    </w:lvl>
    <w:lvl w:ilvl="4">
      <w:start w:val="1"/>
      <w:numFmt w:val="bullet"/>
      <w:lvlText w:val="🌕"/>
      <w:lvlJc w:val="left"/>
      <w:pPr>
        <w:ind w:left="3600" w:hanging="360"/>
      </w:pPr>
      <w:rPr>
        <w:rFonts w:ascii="Noto Sans" w:cs="Noto Sans" w:eastAsia="Noto Sans" w:hAnsi="Noto Sans"/>
        <w:u w:val="none"/>
      </w:rPr>
    </w:lvl>
    <w:lvl w:ilvl="5">
      <w:start w:val="1"/>
      <w:numFmt w:val="bullet"/>
      <w:lvlText w:val="■"/>
      <w:lvlJc w:val="left"/>
      <w:pPr>
        <w:ind w:left="4320" w:hanging="360"/>
      </w:pPr>
      <w:rPr>
        <w:rFonts w:ascii="Noto Sans" w:cs="Noto Sans" w:eastAsia="Noto Sans" w:hAnsi="Noto Sans"/>
        <w:u w:val="none"/>
      </w:rPr>
    </w:lvl>
    <w:lvl w:ilvl="6">
      <w:start w:val="1"/>
      <w:numFmt w:val="bullet"/>
      <w:lvlText w:val="●"/>
      <w:lvlJc w:val="left"/>
      <w:pPr>
        <w:ind w:left="5040" w:hanging="360"/>
      </w:pPr>
      <w:rPr>
        <w:rFonts w:ascii="Noto Sans" w:cs="Noto Sans" w:eastAsia="Noto Sans" w:hAnsi="Noto Sans"/>
        <w:u w:val="none"/>
      </w:rPr>
    </w:lvl>
    <w:lvl w:ilvl="7">
      <w:start w:val="1"/>
      <w:numFmt w:val="bullet"/>
      <w:lvlText w:val="🌕"/>
      <w:lvlJc w:val="left"/>
      <w:pPr>
        <w:ind w:left="5760" w:hanging="360"/>
      </w:pPr>
      <w:rPr>
        <w:rFonts w:ascii="Noto Sans" w:cs="Noto Sans" w:eastAsia="Noto Sans" w:hAnsi="Noto Sans"/>
        <w:u w:val="none"/>
      </w:rPr>
    </w:lvl>
    <w:lvl w:ilvl="8">
      <w:start w:val="1"/>
      <w:numFmt w:val="bullet"/>
      <w:lvlText w:val="■"/>
      <w:lvlJc w:val="left"/>
      <w:pPr>
        <w:ind w:left="6480" w:hanging="360"/>
      </w:pPr>
      <w:rPr>
        <w:rFonts w:ascii="Noto Sans" w:cs="Noto Sans" w:eastAsia="Noto Sans" w:hAnsi="Noto Sans"/>
        <w:u w:val="none"/>
      </w:rPr>
    </w:lvl>
  </w:abstractNum>
  <w:abstractNum w:abstractNumId="2">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Noto Sans" w:cs="Noto Sans" w:eastAsia="Noto Sans" w:hAnsi="Noto Sans"/>
        <w:u w:val="none"/>
      </w:rPr>
    </w:lvl>
    <w:lvl w:ilvl="1">
      <w:start w:val="1"/>
      <w:numFmt w:val="bullet"/>
      <w:lvlText w:val="🌕"/>
      <w:lvlJc w:val="left"/>
      <w:pPr>
        <w:ind w:left="1440" w:hanging="360"/>
      </w:pPr>
      <w:rPr>
        <w:rFonts w:ascii="Noto Sans" w:cs="Noto Sans" w:eastAsia="Noto Sans" w:hAnsi="Noto Sans"/>
        <w:u w:val="none"/>
      </w:rPr>
    </w:lvl>
    <w:lvl w:ilvl="2">
      <w:start w:val="1"/>
      <w:numFmt w:val="bullet"/>
      <w:lvlText w:val="■"/>
      <w:lvlJc w:val="left"/>
      <w:pPr>
        <w:ind w:left="2160" w:hanging="360"/>
      </w:pPr>
      <w:rPr>
        <w:rFonts w:ascii="Noto Sans" w:cs="Noto Sans" w:eastAsia="Noto Sans" w:hAnsi="Noto Sans"/>
        <w:u w:val="none"/>
      </w:rPr>
    </w:lvl>
    <w:lvl w:ilvl="3">
      <w:start w:val="1"/>
      <w:numFmt w:val="bullet"/>
      <w:lvlText w:val="●"/>
      <w:lvlJc w:val="left"/>
      <w:pPr>
        <w:ind w:left="2880" w:hanging="360"/>
      </w:pPr>
      <w:rPr>
        <w:rFonts w:ascii="Noto Sans" w:cs="Noto Sans" w:eastAsia="Noto Sans" w:hAnsi="Noto Sans"/>
        <w:u w:val="none"/>
      </w:rPr>
    </w:lvl>
    <w:lvl w:ilvl="4">
      <w:start w:val="1"/>
      <w:numFmt w:val="bullet"/>
      <w:lvlText w:val="🌕"/>
      <w:lvlJc w:val="left"/>
      <w:pPr>
        <w:ind w:left="3600" w:hanging="360"/>
      </w:pPr>
      <w:rPr>
        <w:rFonts w:ascii="Noto Sans" w:cs="Noto Sans" w:eastAsia="Noto Sans" w:hAnsi="Noto Sans"/>
        <w:u w:val="none"/>
      </w:rPr>
    </w:lvl>
    <w:lvl w:ilvl="5">
      <w:start w:val="1"/>
      <w:numFmt w:val="bullet"/>
      <w:lvlText w:val="■"/>
      <w:lvlJc w:val="left"/>
      <w:pPr>
        <w:ind w:left="4320" w:hanging="360"/>
      </w:pPr>
      <w:rPr>
        <w:rFonts w:ascii="Noto Sans" w:cs="Noto Sans" w:eastAsia="Noto Sans" w:hAnsi="Noto Sans"/>
        <w:u w:val="none"/>
      </w:rPr>
    </w:lvl>
    <w:lvl w:ilvl="6">
      <w:start w:val="1"/>
      <w:numFmt w:val="bullet"/>
      <w:lvlText w:val="●"/>
      <w:lvlJc w:val="left"/>
      <w:pPr>
        <w:ind w:left="5040" w:hanging="360"/>
      </w:pPr>
      <w:rPr>
        <w:rFonts w:ascii="Noto Sans" w:cs="Noto Sans" w:eastAsia="Noto Sans" w:hAnsi="Noto Sans"/>
        <w:u w:val="none"/>
      </w:rPr>
    </w:lvl>
    <w:lvl w:ilvl="7">
      <w:start w:val="1"/>
      <w:numFmt w:val="bullet"/>
      <w:lvlText w:val="🌕"/>
      <w:lvlJc w:val="left"/>
      <w:pPr>
        <w:ind w:left="5760" w:hanging="360"/>
      </w:pPr>
      <w:rPr>
        <w:rFonts w:ascii="Noto Sans" w:cs="Noto Sans" w:eastAsia="Noto Sans" w:hAnsi="Noto Sans"/>
        <w:u w:val="none"/>
      </w:rPr>
    </w:lvl>
    <w:lvl w:ilvl="8">
      <w:start w:val="1"/>
      <w:numFmt w:val="bullet"/>
      <w:lvlText w:val="■"/>
      <w:lvlJc w:val="left"/>
      <w:pPr>
        <w:ind w:left="6480" w:hanging="360"/>
      </w:pPr>
      <w:rPr>
        <w:rFonts w:ascii="Noto Sans" w:cs="Noto Sans" w:eastAsia="Noto Sans" w:hAnsi="Noto Sans"/>
        <w:u w:val="none"/>
      </w:rPr>
    </w:lvl>
  </w:abstractNum>
  <w:abstractNum w:abstractNumId="4">
    <w:lvl w:ilvl="0">
      <w:start w:val="1"/>
      <w:numFmt w:val="bullet"/>
      <w:lvlText w:val="●"/>
      <w:lvlJc w:val="left"/>
      <w:pPr>
        <w:ind w:left="720" w:hanging="360"/>
      </w:pPr>
      <w:rPr>
        <w:rFonts w:ascii="Noto Sans" w:cs="Noto Sans" w:eastAsia="Noto Sans" w:hAnsi="Noto Sans"/>
        <w:u w:val="none"/>
      </w:rPr>
    </w:lvl>
    <w:lvl w:ilvl="1">
      <w:start w:val="1"/>
      <w:numFmt w:val="bullet"/>
      <w:lvlText w:val="🌕"/>
      <w:lvlJc w:val="left"/>
      <w:pPr>
        <w:ind w:left="1440" w:hanging="360"/>
      </w:pPr>
      <w:rPr>
        <w:rFonts w:ascii="Noto Sans" w:cs="Noto Sans" w:eastAsia="Noto Sans" w:hAnsi="Noto Sans"/>
        <w:u w:val="none"/>
      </w:rPr>
    </w:lvl>
    <w:lvl w:ilvl="2">
      <w:start w:val="1"/>
      <w:numFmt w:val="bullet"/>
      <w:lvlText w:val="■"/>
      <w:lvlJc w:val="left"/>
      <w:pPr>
        <w:ind w:left="2160" w:hanging="360"/>
      </w:pPr>
      <w:rPr>
        <w:rFonts w:ascii="Noto Sans" w:cs="Noto Sans" w:eastAsia="Noto Sans" w:hAnsi="Noto Sans"/>
        <w:u w:val="none"/>
      </w:rPr>
    </w:lvl>
    <w:lvl w:ilvl="3">
      <w:start w:val="1"/>
      <w:numFmt w:val="bullet"/>
      <w:lvlText w:val="●"/>
      <w:lvlJc w:val="left"/>
      <w:pPr>
        <w:ind w:left="2880" w:hanging="360"/>
      </w:pPr>
      <w:rPr>
        <w:rFonts w:ascii="Noto Sans" w:cs="Noto Sans" w:eastAsia="Noto Sans" w:hAnsi="Noto Sans"/>
        <w:u w:val="none"/>
      </w:rPr>
    </w:lvl>
    <w:lvl w:ilvl="4">
      <w:start w:val="1"/>
      <w:numFmt w:val="bullet"/>
      <w:lvlText w:val="🌕"/>
      <w:lvlJc w:val="left"/>
      <w:pPr>
        <w:ind w:left="3600" w:hanging="360"/>
      </w:pPr>
      <w:rPr>
        <w:rFonts w:ascii="Noto Sans" w:cs="Noto Sans" w:eastAsia="Noto Sans" w:hAnsi="Noto Sans"/>
        <w:u w:val="none"/>
      </w:rPr>
    </w:lvl>
    <w:lvl w:ilvl="5">
      <w:start w:val="1"/>
      <w:numFmt w:val="bullet"/>
      <w:lvlText w:val="■"/>
      <w:lvlJc w:val="left"/>
      <w:pPr>
        <w:ind w:left="4320" w:hanging="360"/>
      </w:pPr>
      <w:rPr>
        <w:rFonts w:ascii="Noto Sans" w:cs="Noto Sans" w:eastAsia="Noto Sans" w:hAnsi="Noto Sans"/>
        <w:u w:val="none"/>
      </w:rPr>
    </w:lvl>
    <w:lvl w:ilvl="6">
      <w:start w:val="1"/>
      <w:numFmt w:val="bullet"/>
      <w:lvlText w:val="●"/>
      <w:lvlJc w:val="left"/>
      <w:pPr>
        <w:ind w:left="5040" w:hanging="360"/>
      </w:pPr>
      <w:rPr>
        <w:rFonts w:ascii="Noto Sans" w:cs="Noto Sans" w:eastAsia="Noto Sans" w:hAnsi="Noto Sans"/>
        <w:u w:val="none"/>
      </w:rPr>
    </w:lvl>
    <w:lvl w:ilvl="7">
      <w:start w:val="1"/>
      <w:numFmt w:val="bullet"/>
      <w:lvlText w:val="🌕"/>
      <w:lvlJc w:val="left"/>
      <w:pPr>
        <w:ind w:left="5760" w:hanging="360"/>
      </w:pPr>
      <w:rPr>
        <w:rFonts w:ascii="Noto Sans" w:cs="Noto Sans" w:eastAsia="Noto Sans" w:hAnsi="Noto Sans"/>
        <w:u w:val="none"/>
      </w:rPr>
    </w:lvl>
    <w:lvl w:ilvl="8">
      <w:start w:val="1"/>
      <w:numFmt w:val="bullet"/>
      <w:lvlText w:val="■"/>
      <w:lvlJc w:val="left"/>
      <w:pPr>
        <w:ind w:left="6480" w:hanging="360"/>
      </w:pPr>
      <w:rPr>
        <w:rFonts w:ascii="Noto Sans" w:cs="Noto Sans" w:eastAsia="Noto Sans" w:hAnsi="Noto Sans"/>
        <w:u w:val="none"/>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240" w:lineRule="auto"/>
    </w:pPr>
    <w:rPr>
      <w:b w:val="1"/>
      <w:sz w:val="48"/>
      <w:szCs w:val="48"/>
    </w:rPr>
  </w:style>
  <w:style w:type="paragraph" w:styleId="Heading2">
    <w:name w:val="heading 2"/>
    <w:basedOn w:val="Normal"/>
    <w:next w:val="Normal"/>
    <w:pPr>
      <w:keepNext w:val="1"/>
      <w:keepLines w:val="1"/>
      <w:spacing w:after="80" w:before="360" w:line="240" w:lineRule="auto"/>
    </w:pPr>
    <w:rPr>
      <w:b w:val="1"/>
      <w:sz w:val="36"/>
      <w:szCs w:val="36"/>
    </w:rPr>
  </w:style>
  <w:style w:type="paragraph" w:styleId="Heading3">
    <w:name w:val="heading 3"/>
    <w:basedOn w:val="Normal"/>
    <w:next w:val="Normal"/>
    <w:pPr>
      <w:keepNext w:val="1"/>
      <w:keepLines w:val="1"/>
      <w:spacing w:after="80" w:before="280" w:line="240" w:lineRule="auto"/>
    </w:pPr>
    <w:rPr>
      <w:b w:val="1"/>
      <w:sz w:val="28"/>
      <w:szCs w:val="28"/>
    </w:rPr>
  </w:style>
  <w:style w:type="paragraph" w:styleId="Heading4">
    <w:name w:val="heading 4"/>
    <w:basedOn w:val="Normal"/>
    <w:next w:val="Normal"/>
    <w:pPr>
      <w:keepNext w:val="1"/>
      <w:keepLines w:val="1"/>
      <w:spacing w:after="40" w:before="240" w:line="240" w:lineRule="auto"/>
    </w:pPr>
    <w:rPr>
      <w:b w:val="1"/>
      <w:sz w:val="24"/>
      <w:szCs w:val="24"/>
    </w:rPr>
  </w:style>
  <w:style w:type="paragraph" w:styleId="Heading5">
    <w:name w:val="heading 5"/>
    <w:basedOn w:val="Normal"/>
    <w:next w:val="Normal"/>
    <w:pPr>
      <w:keepNext w:val="1"/>
      <w:keepLines w:val="1"/>
      <w:spacing w:after="40" w:before="220" w:line="240" w:lineRule="auto"/>
    </w:pPr>
    <w:rPr>
      <w:b w:val="1"/>
    </w:rPr>
  </w:style>
  <w:style w:type="paragraph" w:styleId="Heading6">
    <w:name w:val="heading 6"/>
    <w:basedOn w:val="Normal"/>
    <w:next w:val="Normal"/>
    <w:pPr>
      <w:keepNext w:val="1"/>
      <w:keepLines w:val="1"/>
      <w:spacing w:after="40" w:before="200" w:line="240" w:lineRule="auto"/>
    </w:pPr>
    <w:rPr>
      <w:b w:val="1"/>
      <w:sz w:val="20"/>
      <w:szCs w:val="20"/>
    </w:rPr>
  </w:style>
  <w:style w:type="paragraph" w:styleId="Title">
    <w:name w:val="Title"/>
    <w:basedOn w:val="Normal"/>
    <w:next w:val="Normal"/>
    <w:pPr>
      <w:keepNext w:val="1"/>
      <w:keepLines w:val="1"/>
      <w:spacing w:after="120" w:before="480" w:line="24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240" w:lineRule="auto"/>
    </w:pPr>
    <w:rPr>
      <w:b w:val="1"/>
      <w:sz w:val="48"/>
      <w:szCs w:val="48"/>
    </w:rPr>
  </w:style>
  <w:style w:type="paragraph" w:styleId="Heading2">
    <w:name w:val="heading 2"/>
    <w:basedOn w:val="Normal"/>
    <w:next w:val="Normal"/>
    <w:pPr>
      <w:keepNext w:val="1"/>
      <w:keepLines w:val="1"/>
      <w:spacing w:after="80" w:before="360" w:line="240" w:lineRule="auto"/>
    </w:pPr>
    <w:rPr>
      <w:b w:val="1"/>
      <w:sz w:val="36"/>
      <w:szCs w:val="36"/>
    </w:rPr>
  </w:style>
  <w:style w:type="paragraph" w:styleId="Heading3">
    <w:name w:val="heading 3"/>
    <w:basedOn w:val="Normal"/>
    <w:next w:val="Normal"/>
    <w:pPr>
      <w:keepNext w:val="1"/>
      <w:keepLines w:val="1"/>
      <w:spacing w:after="80" w:before="280" w:line="240" w:lineRule="auto"/>
    </w:pPr>
    <w:rPr>
      <w:b w:val="1"/>
      <w:sz w:val="28"/>
      <w:szCs w:val="28"/>
    </w:rPr>
  </w:style>
  <w:style w:type="paragraph" w:styleId="Heading4">
    <w:name w:val="heading 4"/>
    <w:basedOn w:val="Normal"/>
    <w:next w:val="Normal"/>
    <w:pPr>
      <w:keepNext w:val="1"/>
      <w:keepLines w:val="1"/>
      <w:spacing w:after="40" w:before="240" w:line="240" w:lineRule="auto"/>
    </w:pPr>
    <w:rPr>
      <w:b w:val="1"/>
      <w:sz w:val="24"/>
      <w:szCs w:val="24"/>
    </w:rPr>
  </w:style>
  <w:style w:type="paragraph" w:styleId="Heading5">
    <w:name w:val="heading 5"/>
    <w:basedOn w:val="Normal"/>
    <w:next w:val="Normal"/>
    <w:pPr>
      <w:keepNext w:val="1"/>
      <w:keepLines w:val="1"/>
      <w:spacing w:after="40" w:before="220" w:line="240" w:lineRule="auto"/>
    </w:pPr>
    <w:rPr>
      <w:b w:val="1"/>
    </w:rPr>
  </w:style>
  <w:style w:type="paragraph" w:styleId="Heading6">
    <w:name w:val="heading 6"/>
    <w:basedOn w:val="Normal"/>
    <w:next w:val="Normal"/>
    <w:pPr>
      <w:keepNext w:val="1"/>
      <w:keepLines w:val="1"/>
      <w:spacing w:after="40" w:before="200" w:line="240" w:lineRule="auto"/>
    </w:pPr>
    <w:rPr>
      <w:b w:val="1"/>
      <w:sz w:val="20"/>
      <w:szCs w:val="20"/>
    </w:rPr>
  </w:style>
  <w:style w:type="paragraph" w:styleId="Title">
    <w:name w:val="Title"/>
    <w:basedOn w:val="Normal"/>
    <w:next w:val="Normal"/>
    <w:pPr>
      <w:keepNext w:val="1"/>
      <w:keepLines w:val="1"/>
      <w:spacing w:after="120" w:before="480" w:line="240" w:lineRule="auto"/>
    </w:pPr>
    <w:rPr>
      <w:b w:val="1"/>
      <w:sz w:val="72"/>
      <w:szCs w:val="72"/>
    </w:rPr>
  </w:style>
  <w:style w:type="paragraph" w:styleId="Normal">
    <w:name w:val="Normal"/>
    <w:qFormat w:val="1"/>
    <w:pPr>
      <w:widowControl w:val="1"/>
      <w:suppressAutoHyphens w:val="1"/>
      <w:bidi w:val="0"/>
      <w:spacing w:after="160" w:before="0" w:line="259" w:lineRule="auto"/>
      <w:jc w:val="left"/>
    </w:pPr>
    <w:rPr>
      <w:rFonts w:ascii="Calibri" w:cs="Calibri" w:eastAsia="Calibri" w:hAnsi="Calibri"/>
      <w:color w:val="auto"/>
      <w:kern w:val="0"/>
      <w:sz w:val="22"/>
      <w:szCs w:val="22"/>
      <w:lang w:bidi="hi-IN" w:eastAsia="zh-CN" w:val="pt-BR"/>
    </w:rPr>
  </w:style>
  <w:style w:type="paragraph" w:styleId="Ttulo1">
    <w:name w:val="Heading 1"/>
    <w:basedOn w:val="LOnormal"/>
    <w:next w:val="LOnormal"/>
    <w:qFormat w:val="1"/>
    <w:pPr>
      <w:keepNext w:val="1"/>
      <w:keepLines w:val="1"/>
      <w:spacing w:after="120" w:before="480" w:line="240" w:lineRule="auto"/>
    </w:pPr>
    <w:rPr>
      <w:b w:val="1"/>
      <w:sz w:val="48"/>
      <w:szCs w:val="48"/>
    </w:rPr>
  </w:style>
  <w:style w:type="paragraph" w:styleId="Ttulo2">
    <w:name w:val="Heading 2"/>
    <w:basedOn w:val="LOnormal"/>
    <w:next w:val="LOnormal"/>
    <w:qFormat w:val="1"/>
    <w:pPr>
      <w:keepNext w:val="1"/>
      <w:keepLines w:val="1"/>
      <w:spacing w:after="80" w:before="360" w:line="240" w:lineRule="auto"/>
    </w:pPr>
    <w:rPr>
      <w:b w:val="1"/>
      <w:sz w:val="36"/>
      <w:szCs w:val="36"/>
    </w:rPr>
  </w:style>
  <w:style w:type="paragraph" w:styleId="Ttulo3">
    <w:name w:val="Heading 3"/>
    <w:basedOn w:val="LOnormal"/>
    <w:next w:val="LOnormal"/>
    <w:qFormat w:val="1"/>
    <w:pPr>
      <w:keepNext w:val="1"/>
      <w:keepLines w:val="1"/>
      <w:spacing w:after="80" w:before="280" w:line="240" w:lineRule="auto"/>
    </w:pPr>
    <w:rPr>
      <w:b w:val="1"/>
      <w:sz w:val="28"/>
      <w:szCs w:val="28"/>
    </w:rPr>
  </w:style>
  <w:style w:type="paragraph" w:styleId="Ttulo4">
    <w:name w:val="Heading 4"/>
    <w:basedOn w:val="LOnormal"/>
    <w:next w:val="LOnormal"/>
    <w:qFormat w:val="1"/>
    <w:pPr>
      <w:keepNext w:val="1"/>
      <w:keepLines w:val="1"/>
      <w:spacing w:after="40" w:before="240" w:line="240" w:lineRule="auto"/>
    </w:pPr>
    <w:rPr>
      <w:b w:val="1"/>
      <w:sz w:val="24"/>
      <w:szCs w:val="24"/>
    </w:rPr>
  </w:style>
  <w:style w:type="paragraph" w:styleId="Ttulo5">
    <w:name w:val="Heading 5"/>
    <w:basedOn w:val="LOnormal"/>
    <w:next w:val="LOnormal"/>
    <w:qFormat w:val="1"/>
    <w:pPr>
      <w:keepNext w:val="1"/>
      <w:keepLines w:val="1"/>
      <w:spacing w:after="40" w:before="220" w:line="240" w:lineRule="auto"/>
    </w:pPr>
    <w:rPr>
      <w:b w:val="1"/>
    </w:rPr>
  </w:style>
  <w:style w:type="paragraph" w:styleId="Ttulo6">
    <w:name w:val="Heading 6"/>
    <w:basedOn w:val="LOnormal"/>
    <w:next w:val="LOnormal"/>
    <w:qFormat w:val="1"/>
    <w:pPr>
      <w:keepNext w:val="1"/>
      <w:keepLines w:val="1"/>
      <w:spacing w:after="40" w:before="200" w:line="240" w:lineRule="auto"/>
    </w:pPr>
    <w:rPr>
      <w:b w:val="1"/>
      <w:sz w:val="20"/>
      <w:szCs w:val="20"/>
    </w:rPr>
  </w:style>
  <w:style w:type="character" w:styleId="LinkdaInternet">
    <w:name w:val="Link da Internet"/>
    <w:rPr>
      <w:color w:val="000080"/>
      <w:u w:val="single"/>
      <w:lang w:bidi="zxx" w:eastAsia="zxx" w:val="zxx"/>
    </w:rPr>
  </w:style>
  <w:style w:type="paragraph" w:styleId="Ttulo">
    <w:name w:val="Título"/>
    <w:basedOn w:val="Normal"/>
    <w:next w:val="Corpodotexto"/>
    <w:qFormat w:val="1"/>
    <w:pPr>
      <w:keepNext w:val="1"/>
      <w:spacing w:after="120" w:before="240"/>
    </w:pPr>
    <w:rPr>
      <w:rFonts w:ascii="Liberation Sans" w:cs="Lucida Sans" w:eastAsia="Microsoft YaHei" w:hAnsi="Liberation Sans"/>
      <w:sz w:val="28"/>
      <w:szCs w:val="28"/>
    </w:rPr>
  </w:style>
  <w:style w:type="paragraph" w:styleId="Corpodotexto">
    <w:name w:val="Body Text"/>
    <w:basedOn w:val="Normal"/>
    <w:pPr>
      <w:spacing w:after="140" w:before="0" w:line="276" w:lineRule="auto"/>
    </w:pPr>
    <w:rPr/>
  </w:style>
  <w:style w:type="paragraph" w:styleId="Lista">
    <w:name w:val="List"/>
    <w:basedOn w:val="Corpodotexto"/>
    <w:pPr/>
    <w:rPr>
      <w:rFonts w:cs="Lucida Sans"/>
    </w:rPr>
  </w:style>
  <w:style w:type="paragraph" w:styleId="Legenda">
    <w:name w:val="Caption"/>
    <w:basedOn w:val="Normal"/>
    <w:qFormat w:val="1"/>
    <w:pPr>
      <w:suppressLineNumbers w:val="1"/>
      <w:spacing w:after="120" w:before="120"/>
    </w:pPr>
    <w:rPr>
      <w:rFonts w:cs="Lucida Sans"/>
      <w:i w:val="1"/>
      <w:iCs w:val="1"/>
      <w:sz w:val="24"/>
      <w:szCs w:val="24"/>
    </w:rPr>
  </w:style>
  <w:style w:type="paragraph" w:styleId="Ndice">
    <w:name w:val="Índice"/>
    <w:basedOn w:val="Normal"/>
    <w:qFormat w:val="1"/>
    <w:pPr>
      <w:suppressLineNumbers w:val="1"/>
    </w:pPr>
    <w:rPr>
      <w:rFonts w:cs="Lucida Sans"/>
      <w:lang w:bidi="zxx" w:eastAsia="zxx" w:val="zxx"/>
    </w:rPr>
  </w:style>
  <w:style w:type="paragraph" w:styleId="LOnormal" w:default="1">
    <w:name w:val="LO-normal"/>
    <w:qFormat w:val="1"/>
    <w:pPr>
      <w:widowControl w:val="1"/>
      <w:suppressAutoHyphens w:val="1"/>
      <w:bidi w:val="0"/>
      <w:spacing w:after="160" w:before="0" w:line="259" w:lineRule="auto"/>
      <w:jc w:val="left"/>
    </w:pPr>
    <w:rPr>
      <w:rFonts w:ascii="Calibri" w:cs="Calibri" w:eastAsia="Calibri" w:hAnsi="Calibri"/>
      <w:color w:val="auto"/>
      <w:kern w:val="0"/>
      <w:sz w:val="22"/>
      <w:szCs w:val="22"/>
      <w:lang w:bidi="hi-IN" w:eastAsia="zh-CN" w:val="pt-BR"/>
    </w:rPr>
  </w:style>
  <w:style w:type="paragraph" w:styleId="Ttulododocumento">
    <w:name w:val="Title"/>
    <w:basedOn w:val="LOnormal"/>
    <w:next w:val="LOnormal"/>
    <w:qFormat w:val="1"/>
    <w:pPr>
      <w:keepNext w:val="1"/>
      <w:keepLines w:val="1"/>
      <w:spacing w:after="120" w:before="480" w:line="240" w:lineRule="auto"/>
    </w:pPr>
    <w:rPr>
      <w:b w:val="1"/>
      <w:sz w:val="72"/>
      <w:szCs w:val="72"/>
    </w:rPr>
  </w:style>
  <w:style w:type="paragraph" w:styleId="Subttulo">
    <w:name w:val="Subtitle"/>
    <w:basedOn w:val="LOnormal"/>
    <w:next w:val="LOnormal"/>
    <w:qFormat w:val="1"/>
    <w:pPr>
      <w:keepNext w:val="1"/>
      <w:keepLines w:val="1"/>
      <w:spacing w:after="80" w:before="360" w:line="240" w:lineRule="auto"/>
    </w:pPr>
    <w:rPr>
      <w:rFonts w:ascii="Georgia" w:cs="Georgia" w:eastAsia="Georgia" w:hAnsi="Georgia"/>
      <w:i w:val="1"/>
      <w:color w:val="666666"/>
      <w:sz w:val="48"/>
      <w:szCs w:val="48"/>
    </w:rPr>
  </w:style>
  <w:style w:type="paragraph" w:styleId="CabealhoeRodap">
    <w:name w:val="Cabeçalho e Rodapé"/>
    <w:basedOn w:val="Normal"/>
    <w:qFormat w:val="1"/>
    <w:pPr/>
    <w:rPr/>
  </w:style>
  <w:style w:type="paragraph" w:styleId="Cabealho">
    <w:name w:val="Header"/>
    <w:basedOn w:val="CabealhoeRodap"/>
    <w:pPr/>
    <w:rPr/>
  </w:style>
  <w:style w:type="paragraph" w:styleId="Rodap">
    <w:name w:val="Footer"/>
    <w:basedOn w:val="CabealhoeRodap"/>
    <w:pPr/>
    <w:rPr/>
  </w:style>
  <w:style w:type="table" w:styleId="TableNormal" w:default="1">
    <w:name w:val="Table Normal"/>
  </w:style>
  <w:style w:type="paragraph" w:styleId="Subtitle">
    <w:name w:val="Subtitle"/>
    <w:basedOn w:val="Normal"/>
    <w:next w:val="Normal"/>
    <w:pPr>
      <w:keepNext w:val="1"/>
      <w:keepLines w:val="1"/>
      <w:spacing w:after="80" w:before="360" w:line="24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legislacao.planalto.gov.br/legisla/legislacao.nsf/Viw_Identificacao/DEL%202.848-1940?OpenDocument" TargetMode="External"/><Relationship Id="rId22" Type="http://schemas.openxmlformats.org/officeDocument/2006/relationships/hyperlink" Target="https://www.planalto.gov.br/ccivil_03/decreto-lei/del2848compilado.htm" TargetMode="External"/><Relationship Id="rId21" Type="http://schemas.openxmlformats.org/officeDocument/2006/relationships/hyperlink" Target="http://legislacao.planalto.gov.br/legisla/legislacao.nsf/Viw_Identificacao/DEL%202.848-1940?OpenDocument" TargetMode="External"/><Relationship Id="rId24" Type="http://schemas.openxmlformats.org/officeDocument/2006/relationships/hyperlink" Target="http://www.planalto.gov.br/ccivil_03/leis/l8072.htm" TargetMode="External"/><Relationship Id="rId23" Type="http://schemas.openxmlformats.org/officeDocument/2006/relationships/hyperlink" Target="http://legislacao.planalto.gov.br/legisla/legislacao.nsf/Viw_Identificacao/lei%208.072-1990?OpenDocument"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planalto.gov.br/ccivil_03/leis/l7210.htm" TargetMode="External"/><Relationship Id="rId25" Type="http://schemas.openxmlformats.org/officeDocument/2006/relationships/hyperlink" Target="http://legislacao.planalto.gov.br/legisla/legislacao.nsf/Viw_Identificacao/lei%207.210-1984?OpenDocument" TargetMode="External"/><Relationship Id="rId28" Type="http://schemas.openxmlformats.org/officeDocument/2006/relationships/header" Target="header4.xml"/><Relationship Id="rId27" Type="http://schemas.openxmlformats.org/officeDocument/2006/relationships/hyperlink" Target="http://legislacao.planalto.gov.br/legisla/legislacao.nsf/Viw_Identificacao/lei%2011.343-2006?OpenDocument"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eader" Target="header3.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footer" Target="footer3.xml"/><Relationship Id="rId30" Type="http://schemas.openxmlformats.org/officeDocument/2006/relationships/footer" Target="footer4.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s://www.planalto.gov.br/ccivil_03/_Ato2019-2022/2019/Lei/L13964.htm#art4" TargetMode="External"/><Relationship Id="rId14" Type="http://schemas.openxmlformats.org/officeDocument/2006/relationships/hyperlink" Target="https://www.planalto.gov.br/ccivil_03/_Ato2019-2022/2019/Lei/L13964.htm#art20" TargetMode="External"/><Relationship Id="rId17" Type="http://schemas.openxmlformats.org/officeDocument/2006/relationships/hyperlink" Target="http://legislacao.planalto.gov.br/legisla/legislacao.nsf/Viw_Identificacao/DEC%20678-1992?OpenDocument" TargetMode="External"/><Relationship Id="rId16" Type="http://schemas.openxmlformats.org/officeDocument/2006/relationships/hyperlink" Target="https://www.planalto.gov.br/ccivil_03/_Ato2019-2022/2019/Lei/L13964.htm#art20" TargetMode="External"/><Relationship Id="rId19" Type="http://schemas.openxmlformats.org/officeDocument/2006/relationships/hyperlink" Target="http://legislacao.planalto.gov.br/legisla/legislacao.nsf/Viw_Identificacao/DEL%202.848-1940?OpenDocument" TargetMode="External"/><Relationship Id="rId18" Type="http://schemas.openxmlformats.org/officeDocument/2006/relationships/hyperlink" Target="http://www.planalto.gov.br/ccivil_03/decreto/d0678.ht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regular.ttf"/><Relationship Id="rId6" Type="http://schemas.openxmlformats.org/officeDocument/2006/relationships/font" Target="fonts/NotoSans-bold.ttf"/><Relationship Id="rId7" Type="http://schemas.openxmlformats.org/officeDocument/2006/relationships/font" Target="fonts/NotoSans-italic.ttf"/><Relationship Id="rId8" Type="http://schemas.openxmlformats.org/officeDocument/2006/relationships/font" Target="fonts/NotoSans-boldItalic.ttf"/></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HZqUKMS2yUiaAhyV5lsKe7iHSCQ==">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

<file path=docProps/custom.xml><?xml version="1.0" encoding="utf-8"?>
<Properties xmlns="http://schemas.openxmlformats.org/officeDocument/2006/custom-properties" xmlns:vt="http://schemas.openxmlformats.org/officeDocument/2006/docPropsVTypes"/>
</file>