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1,62</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Julia Dutra Tessaro, RA 20000109</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Daniel Cruz Strazza, RA 2000403</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Larissa Fatima Dutra, RA 20000408</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pStyle w:val="Heading1"/>
        <w:spacing w:after="0" w:before="0" w:line="360" w:lineRule="auto"/>
        <w:jc w:val="both"/>
        <w:rPr>
          <w:rFonts w:ascii="Times New Roman" w:cs="Times New Roman" w:eastAsia="Times New Roman" w:hAnsi="Times New Roman"/>
          <w:b w:val="0"/>
          <w:sz w:val="28"/>
          <w:szCs w:val="28"/>
        </w:rPr>
      </w:pPr>
      <w:r w:rsidDel="00000000" w:rsidR="00000000" w:rsidRPr="00000000">
        <w:rPr>
          <w:rFonts w:ascii="Times New Roman" w:cs="Times New Roman" w:eastAsia="Times New Roman" w:hAnsi="Times New Roman"/>
          <w:sz w:val="28"/>
          <w:szCs w:val="28"/>
          <w:rtl w:val="0"/>
        </w:rPr>
        <w:t xml:space="preserve">ASSUNTO</w:t>
      </w:r>
      <w:r w:rsidDel="00000000" w:rsidR="00000000" w:rsidRPr="00000000">
        <w:rPr>
          <w:rtl w:val="0"/>
        </w:rPr>
      </w:r>
    </w:p>
    <w:p w:rsidR="00000000" w:rsidDel="00000000" w:rsidP="00000000" w:rsidRDefault="00000000" w:rsidRPr="00000000" w14:paraId="0000009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spacing w:line="360" w:lineRule="auto"/>
        <w:rPr>
          <w:rFonts w:ascii="Times New Roman" w:cs="Times New Roman" w:eastAsia="Times New Roman" w:hAnsi="Times New Roman"/>
          <w:sz w:val="24"/>
          <w:szCs w:val="24"/>
        </w:rPr>
      </w:pPr>
      <w:bookmarkStart w:colFirst="0" w:colLast="0" w:name="_heading=h.30j0zll" w:id="1"/>
      <w:bookmarkEnd w:id="1"/>
      <w:r w:rsidDel="00000000" w:rsidR="00000000" w:rsidRPr="00000000">
        <w:rPr>
          <w:rFonts w:ascii="Times New Roman" w:cs="Times New Roman" w:eastAsia="Times New Roman" w:hAnsi="Times New Roman"/>
          <w:sz w:val="24"/>
          <w:szCs w:val="24"/>
          <w:rtl w:val="0"/>
        </w:rPr>
        <w:t xml:space="preserve">Nulidade em fase processual e inquisitorial decorrente de ato oriundo de inquérito policial. Cumprimento integral de pena em presídio. Prazo recursal. Cobrança de honorários advocatícios manifestamente desproporcionais. </w:t>
      </w:r>
    </w:p>
    <w:p w:rsidR="00000000" w:rsidDel="00000000" w:rsidP="00000000" w:rsidRDefault="00000000" w:rsidRPr="00000000" w14:paraId="00000098">
      <w:pPr>
        <w:pStyle w:val="Heading1"/>
        <w:spacing w:after="0" w:before="0" w:line="360" w:lineRule="auto"/>
        <w:jc w:val="both"/>
        <w:rPr>
          <w:rFonts w:ascii="Times New Roman" w:cs="Times New Roman" w:eastAsia="Times New Roman" w:hAnsi="Times New Roman"/>
          <w:b w:val="0"/>
          <w:sz w:val="24"/>
          <w:szCs w:val="24"/>
        </w:rPr>
      </w:pPr>
      <w:r w:rsidDel="00000000" w:rsidR="00000000" w:rsidRPr="00000000">
        <w:rPr>
          <w:rtl w:val="0"/>
        </w:rPr>
      </w:r>
    </w:p>
    <w:p w:rsidR="00000000" w:rsidDel="00000000" w:rsidP="00000000" w:rsidRDefault="00000000" w:rsidRPr="00000000" w14:paraId="00000099">
      <w:pPr>
        <w:pStyle w:val="Heading1"/>
        <w:spacing w:after="0" w:before="0" w:line="360" w:lineRule="auto"/>
        <w:jc w:val="both"/>
        <w:rPr>
          <w:rFonts w:ascii="Times New Roman" w:cs="Times New Roman" w:eastAsia="Times New Roman" w:hAnsi="Times New Roman"/>
          <w:b w:val="0"/>
          <w:sz w:val="28"/>
          <w:szCs w:val="28"/>
        </w:rPr>
      </w:pPr>
      <w:r w:rsidDel="00000000" w:rsidR="00000000" w:rsidRPr="00000000">
        <w:rPr>
          <w:rFonts w:ascii="Times New Roman" w:cs="Times New Roman" w:eastAsia="Times New Roman" w:hAnsi="Times New Roman"/>
          <w:sz w:val="28"/>
          <w:szCs w:val="28"/>
          <w:rtl w:val="0"/>
        </w:rPr>
        <w:t xml:space="preserve">CONSULENTE</w:t>
      </w:r>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fob9te" w:id="2"/>
      <w:bookmarkEnd w:id="2"/>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Lívia Roberta, brasileira, solteira, maior e capaz, estudante, RG 00.000.000-0, CPF 000.000.000-00, residente e domiciliada à Rua 0, nº. 0, São Paulo - SP, CEP 00000-000.</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D">
      <w:pPr>
        <w:pStyle w:val="Heading1"/>
        <w:spacing w:after="0" w:before="0" w:line="360" w:lineRule="auto"/>
        <w:jc w:val="both"/>
        <w:rPr>
          <w:rFonts w:ascii="Times New Roman" w:cs="Times New Roman" w:eastAsia="Times New Roman" w:hAnsi="Times New Roman"/>
          <w:b w:val="0"/>
          <w:sz w:val="24"/>
          <w:szCs w:val="24"/>
          <w:shd w:fill="fce5cd" w:val="clear"/>
        </w:rPr>
      </w:pPr>
      <w:r w:rsidDel="00000000" w:rsidR="00000000" w:rsidRPr="00000000">
        <w:rPr>
          <w:rtl w:val="0"/>
        </w:rPr>
      </w:r>
    </w:p>
    <w:p w:rsidR="00000000" w:rsidDel="00000000" w:rsidP="00000000" w:rsidRDefault="00000000" w:rsidRPr="00000000" w14:paraId="0000009E">
      <w:pPr>
        <w:pStyle w:val="Heading1"/>
        <w:spacing w:after="0" w:before="0" w:line="360" w:lineRule="auto"/>
        <w:jc w:val="both"/>
        <w:rPr>
          <w:rFonts w:ascii="Times New Roman" w:cs="Times New Roman" w:eastAsia="Times New Roman" w:hAnsi="Times New Roman"/>
          <w:b w:val="0"/>
          <w:sz w:val="28"/>
          <w:szCs w:val="28"/>
        </w:rPr>
      </w:pPr>
      <w:r w:rsidDel="00000000" w:rsidR="00000000" w:rsidRPr="00000000">
        <w:rPr>
          <w:rFonts w:ascii="Times New Roman" w:cs="Times New Roman" w:eastAsia="Times New Roman" w:hAnsi="Times New Roman"/>
          <w:sz w:val="28"/>
          <w:szCs w:val="28"/>
          <w:rtl w:val="0"/>
        </w:rPr>
        <w:t xml:space="preserve">EMENTA</w:t>
      </w:r>
      <w:r w:rsidDel="00000000" w:rsidR="00000000" w:rsidRPr="00000000">
        <w:rPr>
          <w:rtl w:val="0"/>
        </w:rPr>
      </w:r>
    </w:p>
    <w:p w:rsidR="00000000" w:rsidDel="00000000" w:rsidP="00000000" w:rsidRDefault="00000000" w:rsidRPr="00000000" w14:paraId="0000009F">
      <w:pPr>
        <w:spacing w:line="240" w:lineRule="auto"/>
        <w:ind w:left="17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PROCESSUAL PENAL. INQUÉRITO POLICIAL. PEÇA MERAMENTE INFORMATIVA. PRINCÍPIO DO CONTRADITÓRIO E DA AMPLA DEFESA. ATOS INQUISITORIAIS SEM A PRESENÇA DE DEFENSOR TÉCNICO. DIREITO PENAL. ESPÉCIES DE PENA. REGIMES DE CUMPRIMENTO DE PENA. PROGRESSÃO. REINCIDÊNCIA. REGRESSÃO. DIREITO PROCESSUAL CIVIL. RECURSO ADESIVO. REQUISITOS DE ADMISSIBILIDADE. DIREITO CIVIL. COBRANÇA DE HONORÁRIOS CONTRATUAIS. CLÁUSULA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0">
      <w:pPr>
        <w:spacing w:line="240" w:lineRule="auto"/>
        <w:ind w:left="170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spacing w:line="240" w:lineRule="auto"/>
        <w:ind w:left="170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spacing w:line="240" w:lineRule="auto"/>
        <w:ind w:left="170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pStyle w:val="Heading1"/>
        <w:spacing w:after="0" w:before="0" w:line="360" w:lineRule="auto"/>
        <w:jc w:val="both"/>
        <w:rPr>
          <w:rFonts w:ascii="Times New Roman" w:cs="Times New Roman" w:eastAsia="Times New Roman" w:hAnsi="Times New Roman"/>
          <w:b w:val="0"/>
          <w:sz w:val="28"/>
          <w:szCs w:val="28"/>
        </w:rPr>
      </w:pPr>
      <w:bookmarkStart w:colFirst="0" w:colLast="0" w:name="_heading=h.3znysh7" w:id="3"/>
      <w:bookmarkEnd w:id="3"/>
      <w:r w:rsidDel="00000000" w:rsidR="00000000" w:rsidRPr="00000000">
        <w:rPr>
          <w:rFonts w:ascii="Times New Roman" w:cs="Times New Roman" w:eastAsia="Times New Roman" w:hAnsi="Times New Roman"/>
          <w:sz w:val="28"/>
          <w:szCs w:val="28"/>
          <w:rtl w:val="0"/>
        </w:rPr>
        <w:t xml:space="preserve">1 RELATÓRIO</w:t>
      </w:r>
      <w:r w:rsidDel="00000000" w:rsidR="00000000" w:rsidRPr="00000000">
        <w:rPr>
          <w:rtl w:val="0"/>
        </w:rPr>
      </w:r>
    </w:p>
    <w:p w:rsidR="00000000" w:rsidDel="00000000" w:rsidP="00000000" w:rsidRDefault="00000000" w:rsidRPr="00000000" w14:paraId="000000A4">
      <w:pPr>
        <w:spacing w:after="200" w:line="360" w:lineRule="auto"/>
        <w:ind w:firstLine="708"/>
        <w:jc w:val="both"/>
        <w:rPr>
          <w:rFonts w:ascii="Times New Roman" w:cs="Times New Roman" w:eastAsia="Times New Roman" w:hAnsi="Times New Roman"/>
          <w:sz w:val="24"/>
          <w:szCs w:val="24"/>
          <w:shd w:fill="ffe599" w:val="clear"/>
        </w:rPr>
      </w:pPr>
      <w:r w:rsidDel="00000000" w:rsidR="00000000" w:rsidRPr="00000000">
        <w:rPr>
          <w:rFonts w:ascii="Times New Roman" w:cs="Times New Roman" w:eastAsia="Times New Roman" w:hAnsi="Times New Roman"/>
          <w:sz w:val="24"/>
          <w:szCs w:val="24"/>
          <w:rtl w:val="0"/>
        </w:rPr>
        <w:t xml:space="preserve">Fazendo-se presente no dia 14 de outubro de 2022, a Sra. Lívia Roberta, ora consulente, relatou ter sido vítima de inúmeros atos de violação sexual, praticados pelo irmão de sua genitora, que atende pela alcunha de Sérgio “Lorota”. Os acontecimentos iniciaram-se quando a consulente tinha apenas onze anos de idade e residia no município de Francisco Morato, juntamente com sua genitora, seus irmãos, e seu tio Sérgio e deixaram-lhe profundos danos emocionais e psicológicos.</w:t>
      </w:r>
      <w:r w:rsidDel="00000000" w:rsidR="00000000" w:rsidRPr="00000000">
        <w:rPr>
          <w:rtl w:val="0"/>
        </w:rPr>
      </w:r>
    </w:p>
    <w:p w:rsidR="00000000" w:rsidDel="00000000" w:rsidP="00000000" w:rsidRDefault="00000000" w:rsidRPr="00000000" w14:paraId="000000A5">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consulente aduz que há cerca de dois anos decidiu denunciar as violências sofridas, deste modo, dirigiu-se à 1ª Delegacia da Mulher de Francisco Morato. Logo, fora instaurado procedimento inquisitório para a devida apuração da </w:t>
      </w:r>
      <w:r w:rsidDel="00000000" w:rsidR="00000000" w:rsidRPr="00000000">
        <w:rPr>
          <w:rFonts w:ascii="Times New Roman" w:cs="Times New Roman" w:eastAsia="Times New Roman" w:hAnsi="Times New Roman"/>
          <w:i w:val="1"/>
          <w:sz w:val="24"/>
          <w:szCs w:val="24"/>
          <w:rtl w:val="0"/>
        </w:rPr>
        <w:t xml:space="preserve">notitia criminis</w:t>
      </w:r>
      <w:r w:rsidDel="00000000" w:rsidR="00000000" w:rsidRPr="00000000">
        <w:rPr>
          <w:rFonts w:ascii="Times New Roman" w:cs="Times New Roman" w:eastAsia="Times New Roman" w:hAnsi="Times New Roman"/>
          <w:sz w:val="24"/>
          <w:szCs w:val="24"/>
          <w:rtl w:val="0"/>
        </w:rPr>
        <w:t xml:space="preserve">. Entretanto, o averiguado, ao tomar conhecimento da formalização dos fatos junto à Polícia Judiciária, tomou rumo incerto e não sabido, motivando a expedição de mandado de prisão preventiva em seu desfavor, que fora cumprido dias após, tendo a Autoridade Policial realizado seu interrogatório e indiciamento. Encerrado os atos de polícia judiciária, o inquérito policial foi encaminhado à Vara Criminal de Francisco Morato, onde Sérgio foi denunciado por incurso no artigo 217-A do Código Penal.</w:t>
      </w:r>
    </w:p>
    <w:p w:rsidR="00000000" w:rsidDel="00000000" w:rsidP="00000000" w:rsidRDefault="00000000" w:rsidRPr="00000000" w14:paraId="000000A6">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Ocorre que, após o recebimento da denúncia, a consulente recebeu a ligação de Pedro, advogado de Sérgio. Através do contato, Pedro solicitou uma reunião, oportunidade em que relatou à consulente a prava situação do denunciado, que, recentemente, afastou-se do presídio onde cumpria pena pelo delito de Tráfico de Entorpecentes, sendo desfavorável a ele responder por novo crime, induzindo-a, deste modo, a comparecer em sede policial a fim de retificar suas declarações anteriormente prestadas. </w:t>
      </w:r>
    </w:p>
    <w:p w:rsidR="00000000" w:rsidDel="00000000" w:rsidP="00000000" w:rsidRDefault="00000000" w:rsidRPr="00000000" w14:paraId="000000A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Entrementes, ao receber uma retórica negativa, Pedro, em tom intimidador, alegou que entraria com um pedido de “Habeas Corpus” visando anular todo o processo, haja vista que após a prisão de Sérgio, a Autoridade Policial realizou seu interrogatório e indiciamento sem mencionar ao investigado que este poderia ser acompanhado por defensor técnico.</w:t>
      </w:r>
    </w:p>
    <w:p w:rsidR="00000000" w:rsidDel="00000000" w:rsidP="00000000" w:rsidRDefault="00000000" w:rsidRPr="00000000" w14:paraId="000000A8">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Além disso, a consulente relatou que há cerca de algum tempo, fora autora de uma Ação Civil de Declaração de Inexistência de Relação Jurídica combinada com Declaração de Inexigibilidade de Débito combinada com Indenização por Danos Morais, em desfavor de uma instituição financeira que realizou um empréstimo fraudulento em seu nome, sendo requerido a título de danos morais o montante de R$ 10.000.00 (dez mil reais). Valor que não fora venerado pelo Douto Juízo de primeira instância, sendo proferida a sentença no importe de R$ 5.000,00 (cinco mil reais). </w:t>
      </w:r>
    </w:p>
    <w:p w:rsidR="00000000" w:rsidDel="00000000" w:rsidP="00000000" w:rsidRDefault="00000000" w:rsidRPr="00000000" w14:paraId="000000A9">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consulente narra que foi cientificada por seu defensor técnico quanto ao teor da sentença, bem como quanto ao seu direito de recorrer em instância superior, todavia, optou por não fazê-lo.</w:t>
      </w:r>
    </w:p>
    <w:p w:rsidR="00000000" w:rsidDel="00000000" w:rsidP="00000000" w:rsidRDefault="00000000" w:rsidRPr="00000000" w14:paraId="000000AA">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a consulente informou ter recebido duas intimações: uma relacionada ao processo civil, versando sobre a data de julgamento do recurso interposto por seu patrono, sem seu consentimento, sendo, ainda, informada que a instituição ré, ao ser intimada do recurso, também recorreu e representou pela redução da indenização para o valor de R$ 1.000,00 (mil reais) ou até que o pedido fosse julgado improcedente e outra decorrente do processo penal, informando que foi impetrado um habeas corpus em favor de Sérgio.</w:t>
      </w:r>
    </w:p>
    <w:p w:rsidR="00000000" w:rsidDel="00000000" w:rsidP="00000000" w:rsidRDefault="00000000" w:rsidRPr="00000000" w14:paraId="000000A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a consulente, ao reler as cláusulas do contrato de serviços advocatícios, deparou-se com uma cláusula que concede a seu patrono, a título de honorários pelo serviço prestado, a quantia de 60% (sessenta por cento) do proveito econômico que a consulente obtiver com a ação.</w:t>
      </w:r>
    </w:p>
    <w:p w:rsidR="00000000" w:rsidDel="00000000" w:rsidP="00000000" w:rsidRDefault="00000000" w:rsidRPr="00000000" w14:paraId="000000AC">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consulente apresentou os seguintes questionamentos:</w:t>
      </w:r>
    </w:p>
    <w:p w:rsidR="00000000" w:rsidDel="00000000" w:rsidP="00000000" w:rsidRDefault="00000000" w:rsidRPr="00000000" w14:paraId="000000A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Se for condenado neste processo em que é acusado de estupro de vulnerável, Sérgio Lorota cumprirá integralmente a pena no presídio?</w:t>
      </w:r>
    </w:p>
    <w:p w:rsidR="00000000" w:rsidDel="00000000" w:rsidP="00000000" w:rsidRDefault="00000000" w:rsidRPr="00000000" w14:paraId="000000A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Este recurso da financeira está correto? Pode ela, mesmo passando o prazo, apresentar o recurso junto ao seu?</w:t>
      </w:r>
    </w:p>
    <w:p w:rsidR="00000000" w:rsidDel="00000000" w:rsidP="00000000" w:rsidRDefault="00000000" w:rsidRPr="00000000" w14:paraId="000000B0">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Está correta a cláusula n. 12 do contrato de “Prestação de Serviços e Honorários Advocatícios”? É permitida a cobrança de honorários naquele patamar?</w:t>
      </w:r>
    </w:p>
    <w:p w:rsidR="00000000" w:rsidDel="00000000" w:rsidP="00000000" w:rsidRDefault="00000000" w:rsidRPr="00000000" w14:paraId="000000B1">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2">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a síntese do necessário.</w:t>
      </w:r>
    </w:p>
    <w:p w:rsidR="00000000" w:rsidDel="00000000" w:rsidP="00000000" w:rsidRDefault="00000000" w:rsidRPr="00000000" w14:paraId="000000B3">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B5">
      <w:pPr>
        <w:spacing w:line="360" w:lineRule="auto"/>
        <w:ind w:firstLine="708"/>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6">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pStyle w:val="Heading1"/>
        <w:spacing w:after="240" w:before="240" w:line="360" w:lineRule="auto"/>
        <w:jc w:val="both"/>
        <w:rPr>
          <w:rFonts w:ascii="Times New Roman" w:cs="Times New Roman" w:eastAsia="Times New Roman" w:hAnsi="Times New Roman"/>
          <w:b w:val="0"/>
          <w:sz w:val="32"/>
          <w:szCs w:val="32"/>
        </w:rPr>
      </w:pPr>
      <w:bookmarkStart w:colFirst="0" w:colLast="0" w:name="_heading=h.2et92p0" w:id="4"/>
      <w:bookmarkEnd w:id="4"/>
      <w:r w:rsidDel="00000000" w:rsidR="00000000" w:rsidRPr="00000000">
        <w:rPr>
          <w:rFonts w:ascii="Times New Roman" w:cs="Times New Roman" w:eastAsia="Times New Roman" w:hAnsi="Times New Roman"/>
          <w:sz w:val="32"/>
          <w:szCs w:val="32"/>
          <w:rtl w:val="0"/>
        </w:rPr>
        <w:t xml:space="preserve">2 FUNDAMENTAÇÃO</w:t>
      </w: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pStyle w:val="Heading2"/>
        <w:spacing w:after="240" w:before="240" w:line="360" w:lineRule="auto"/>
        <w:jc w:val="both"/>
        <w:rPr>
          <w:rFonts w:ascii="Times New Roman" w:cs="Times New Roman" w:eastAsia="Times New Roman" w:hAnsi="Times New Roman"/>
          <w:sz w:val="28"/>
          <w:szCs w:val="28"/>
        </w:rPr>
      </w:pPr>
      <w:bookmarkStart w:colFirst="0" w:colLast="0" w:name="_heading=h.tyjcwt" w:id="5"/>
      <w:bookmarkEnd w:id="5"/>
      <w:r w:rsidDel="00000000" w:rsidR="00000000" w:rsidRPr="00000000">
        <w:rPr>
          <w:rFonts w:ascii="Times New Roman" w:cs="Times New Roman" w:eastAsia="Times New Roman" w:hAnsi="Times New Roman"/>
          <w:sz w:val="28"/>
          <w:szCs w:val="28"/>
          <w:rtl w:val="0"/>
        </w:rPr>
        <w:t xml:space="preserve">2.1 DIREITO PROCESSUAL PENAL </w:t>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Antes de adentrarmos ao mérito do questionamento, alguns aspectos jurídicos necessitam de esclarecimento para melhor compreensão do tema.</w:t>
      </w:r>
    </w:p>
    <w:p w:rsidR="00000000" w:rsidDel="00000000" w:rsidP="00000000" w:rsidRDefault="00000000" w:rsidRPr="00000000" w14:paraId="000000B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deles - </w:t>
      </w:r>
      <w:sdt>
        <w:sdtPr>
          <w:tag w:val="goog_rdk_1"/>
        </w:sdtPr>
        <w:sdtContent>
          <w:commentRangeStart w:id="1"/>
        </w:sdtContent>
      </w:sdt>
      <w:r w:rsidDel="00000000" w:rsidR="00000000" w:rsidRPr="00000000">
        <w:rPr>
          <w:rFonts w:ascii="Times New Roman" w:cs="Times New Roman" w:eastAsia="Times New Roman" w:hAnsi="Times New Roman"/>
          <w:b w:val="1"/>
          <w:sz w:val="24"/>
          <w:szCs w:val="24"/>
          <w:rtl w:val="0"/>
        </w:rPr>
        <w:t xml:space="preserve">Inquérito Policial</w:t>
      </w:r>
      <w:commentRangeEnd w:id="1"/>
      <w:r w:rsidDel="00000000" w:rsidR="00000000" w:rsidRPr="00000000">
        <w:commentReference w:id="1"/>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trata-se de procedimento administrativo instaurado pela autoridade policial, a fim de que o titular da ação penal tenha condições de ingressar em juízo dispondo de elementos informativos de autoria e materialidade (CPP, art. 4º). Tem como destinatário mediato o juiz, e como destinatários imediatos o Ministério Público, titular exclusivo da ação penal pública (CF, art. 129, I), e o ofendido, titular da ação penal privada (CPP, art. 30). (CAPEZ, 2022, p.49).</w:t>
      </w:r>
    </w:p>
    <w:p w:rsidR="00000000" w:rsidDel="00000000" w:rsidP="00000000" w:rsidRDefault="00000000" w:rsidRPr="00000000" w14:paraId="000000BF">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luz deste conceito, destaca-se:</w:t>
      </w:r>
    </w:p>
    <w:p w:rsidR="00000000" w:rsidDel="00000000" w:rsidP="00000000" w:rsidRDefault="00000000" w:rsidRPr="00000000" w14:paraId="000000C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HABEAS CORPUS - HOMICÍDIO QUALIFICADO TENTADO NULIDADE DO INTERROGATÓRIO EXTRAJUDICIAL - NÃO CIENTIFICAÇÃO DO DIREITO DE PERMANECER EM SILÊNCIO - </w:t>
      </w:r>
      <w:r w:rsidDel="00000000" w:rsidR="00000000" w:rsidRPr="00000000">
        <w:rPr>
          <w:rFonts w:ascii="Times New Roman" w:cs="Times New Roman" w:eastAsia="Times New Roman" w:hAnsi="Times New Roman"/>
          <w:b w:val="1"/>
          <w:sz w:val="20"/>
          <w:szCs w:val="20"/>
          <w:rtl w:val="0"/>
        </w:rPr>
        <w:t xml:space="preserve">INQUÉRITO - PEÇA MERAMENTE INFORMATIVA</w:t>
      </w:r>
      <w:r w:rsidDel="00000000" w:rsidR="00000000" w:rsidRPr="00000000">
        <w:rPr>
          <w:rFonts w:ascii="Times New Roman" w:cs="Times New Roman" w:eastAsia="Times New Roman" w:hAnsi="Times New Roman"/>
          <w:sz w:val="20"/>
          <w:szCs w:val="20"/>
          <w:rtl w:val="0"/>
        </w:rPr>
        <w:t xml:space="preserve"> - PACIENTE QUE COMPARECEU ESPONTANEAMENTE À DELEGACIA CONSTRANGIMENTO ILEGAL NÃO CONFIGURADO. 1. </w:t>
      </w:r>
      <w:r w:rsidDel="00000000" w:rsidR="00000000" w:rsidRPr="00000000">
        <w:rPr>
          <w:rFonts w:ascii="Times New Roman" w:cs="Times New Roman" w:eastAsia="Times New Roman" w:hAnsi="Times New Roman"/>
          <w:b w:val="1"/>
          <w:sz w:val="20"/>
          <w:szCs w:val="20"/>
          <w:rtl w:val="0"/>
        </w:rPr>
        <w:t xml:space="preserve">O Inquérito Policial constitui fase meramente informativa</w:t>
      </w:r>
      <w:r w:rsidDel="00000000" w:rsidR="00000000" w:rsidRPr="00000000">
        <w:rPr>
          <w:rFonts w:ascii="Times New Roman" w:cs="Times New Roman" w:eastAsia="Times New Roman" w:hAnsi="Times New Roman"/>
          <w:sz w:val="20"/>
          <w:szCs w:val="20"/>
          <w:rtl w:val="0"/>
        </w:rPr>
        <w:t xml:space="preserve">, sendo o interrogatório extrajudicial simples ato investigativo. Dessa forma, </w:t>
      </w:r>
      <w:r w:rsidDel="00000000" w:rsidR="00000000" w:rsidRPr="00000000">
        <w:rPr>
          <w:rFonts w:ascii="Times New Roman" w:cs="Times New Roman" w:eastAsia="Times New Roman" w:hAnsi="Times New Roman"/>
          <w:b w:val="1"/>
          <w:sz w:val="20"/>
          <w:szCs w:val="20"/>
          <w:rtl w:val="0"/>
        </w:rPr>
        <w:t xml:space="preserve">eventuais vícios ocorridos na fase do Inquérito não são capazes de macular a Ação Penal</w:t>
      </w:r>
      <w:r w:rsidDel="00000000" w:rsidR="00000000" w:rsidRPr="00000000">
        <w:rPr>
          <w:rFonts w:ascii="Times New Roman" w:cs="Times New Roman" w:eastAsia="Times New Roman" w:hAnsi="Times New Roman"/>
          <w:sz w:val="20"/>
          <w:szCs w:val="20"/>
          <w:rtl w:val="0"/>
        </w:rPr>
        <w:t xml:space="preserve">. (HC 223.441/RJ, Rel. Ministra LAURITA VAZ, QUINTA TURMA, julgado em 05/09/2013, DJe 11/09/2013) (grifo nosso).</w:t>
      </w:r>
    </w:p>
    <w:p w:rsidR="00000000" w:rsidDel="00000000" w:rsidP="00000000" w:rsidRDefault="00000000" w:rsidRPr="00000000" w14:paraId="000000C1">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Nota-se, deste modo, o entendimento pacificado da doutrina e jurisprudência de que o inquérito policial é mera peça de informação, tendo como finalidade a investigação do crime e a descoberta de seu autor, com fito de fornecer elementos para o titular da ação penal promovê-la em juízo, seja ele o Ministério Público, ou o particular. </w:t>
      </w:r>
    </w:p>
    <w:p w:rsidR="00000000" w:rsidDel="00000000" w:rsidP="00000000" w:rsidRDefault="00000000" w:rsidRPr="00000000" w14:paraId="000000C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o artigo 5º, LV, da Constituição Federal, estabelece que “ aos litigantes, em processo judicial ou administrativo, e aos acusados em geral</w:t>
      </w:r>
      <w:r w:rsidDel="00000000" w:rsidR="00000000" w:rsidRPr="00000000">
        <w:rPr>
          <w:rFonts w:ascii="Times New Roman" w:cs="Times New Roman" w:eastAsia="Times New Roman" w:hAnsi="Times New Roman"/>
          <w:b w:val="1"/>
          <w:sz w:val="24"/>
          <w:szCs w:val="24"/>
          <w:rtl w:val="0"/>
        </w:rPr>
        <w:t xml:space="preserve"> são assegurados o contraditório e ampla defesa</w:t>
      </w:r>
      <w:r w:rsidDel="00000000" w:rsidR="00000000" w:rsidRPr="00000000">
        <w:rPr>
          <w:rFonts w:ascii="Times New Roman" w:cs="Times New Roman" w:eastAsia="Times New Roman" w:hAnsi="Times New Roman"/>
          <w:sz w:val="24"/>
          <w:szCs w:val="24"/>
          <w:rtl w:val="0"/>
        </w:rPr>
        <w:t xml:space="preserve">, com os meios e recursos a ela inerentes” (grifo nosso).</w:t>
      </w:r>
    </w:p>
    <w:p w:rsidR="00000000" w:rsidDel="00000000" w:rsidP="00000000" w:rsidRDefault="00000000" w:rsidRPr="00000000" w14:paraId="000000C4">
      <w:pPr>
        <w:spacing w:after="200" w:line="360" w:lineRule="auto"/>
        <w:ind w:firstLine="708"/>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Destarte, as peças inquisitoriais de polícia judiciária têm como principal finalidade a construção da </w:t>
      </w:r>
      <w:r w:rsidDel="00000000" w:rsidR="00000000" w:rsidRPr="00000000">
        <w:rPr>
          <w:rFonts w:ascii="Times New Roman" w:cs="Times New Roman" w:eastAsia="Times New Roman" w:hAnsi="Times New Roman"/>
          <w:i w:val="1"/>
          <w:sz w:val="24"/>
          <w:szCs w:val="24"/>
          <w:rtl w:val="0"/>
        </w:rPr>
        <w:t xml:space="preserve">opinio delicti</w:t>
      </w:r>
      <w:r w:rsidDel="00000000" w:rsidR="00000000" w:rsidRPr="00000000">
        <w:rPr>
          <w:rFonts w:ascii="Times New Roman" w:cs="Times New Roman" w:eastAsia="Times New Roman" w:hAnsi="Times New Roman"/>
          <w:sz w:val="24"/>
          <w:szCs w:val="24"/>
          <w:rtl w:val="0"/>
        </w:rPr>
        <w:t xml:space="preserve">,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no</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qual não há, em regra, o que se falar em contraditório ou ampla defesa, salvo os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inquéritos policiais</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que objetivam a expulsão de estrangeiro, já que neste caso o procedimento adotado deve observar a possibilidade de defesa para que seja efetivado o ato de expulsão conforme dispõe o Decreto 9.199/2017, que regulamenta os dispositivos da Lei 13.445/2017 (Lei de Migração). (AVENA,2021, p.154).</w:t>
      </w:r>
      <w:r w:rsidDel="00000000" w:rsidR="00000000" w:rsidRPr="00000000">
        <w:rPr>
          <w:rtl w:val="0"/>
        </w:rPr>
      </w:r>
    </w:p>
    <w:p w:rsidR="00000000" w:rsidDel="00000000" w:rsidP="00000000" w:rsidRDefault="00000000" w:rsidRPr="00000000" w14:paraId="000000C5">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posicionamento dos tribunais vai ao encontro:</w:t>
      </w:r>
    </w:p>
    <w:p w:rsidR="00000000" w:rsidDel="00000000" w:rsidP="00000000" w:rsidRDefault="00000000" w:rsidRPr="00000000" w14:paraId="000000C6">
      <w:pPr>
        <w:keepNext w:val="1"/>
        <w:keepLines w:val="1"/>
        <w:spacing w:after="200" w:line="240" w:lineRule="auto"/>
        <w:ind w:left="2267" w:firstLine="0"/>
        <w:jc w:val="both"/>
        <w:rPr>
          <w:rFonts w:ascii="Times New Roman" w:cs="Times New Roman" w:eastAsia="Times New Roman" w:hAnsi="Times New Roman"/>
          <w:sz w:val="20"/>
          <w:szCs w:val="20"/>
        </w:rPr>
      </w:pPr>
      <w:sdt>
        <w:sdtPr>
          <w:tag w:val="goog_rdk_4"/>
        </w:sdtPr>
        <w:sdtContent>
          <w:commentRangeStart w:id="4"/>
        </w:sdtContent>
      </w:sdt>
      <w:r w:rsidDel="00000000" w:rsidR="00000000" w:rsidRPr="00000000">
        <w:rPr>
          <w:rFonts w:ascii="Times New Roman" w:cs="Times New Roman" w:eastAsia="Times New Roman" w:hAnsi="Times New Roman"/>
          <w:sz w:val="20"/>
          <w:szCs w:val="20"/>
          <w:rtl w:val="0"/>
        </w:rPr>
        <w:t xml:space="preserve">PROCESSUAL PENAL E PENAL. EMBARGOS DE DECLARAÇÃO RECEBIDOS COMO AGRAVO REGIMENTAL. RECURSO EM HABEAS CORPUS. INÉPCIA DA DENÚNCIA. INOCORRÊNCIA. TRANCAMENTO DA AÇÃO PENAL. IMPOSSIBILIDADE. AUSÊNCIA DE JUSTA CAUSA. INEXISTÊNCIA DE INDÍCIOS DE AUTORIA. NECESSIDADE DE REVOLVIMENTO APROFUNDADO DE MATÉRIA FÁTICO-PROBATÓRIA NA VIA ESTREITA DO WRIT. IMPOSSIBILIDADE. AUSÊNCIA DE OITIVA DO ACUSADO NO INQUÉRITO POLICIAL. </w:t>
      </w:r>
      <w:r w:rsidDel="00000000" w:rsidR="00000000" w:rsidRPr="00000000">
        <w:rPr>
          <w:rFonts w:ascii="Times New Roman" w:cs="Times New Roman" w:eastAsia="Times New Roman" w:hAnsi="Times New Roman"/>
          <w:b w:val="1"/>
          <w:sz w:val="20"/>
          <w:szCs w:val="20"/>
          <w:rtl w:val="0"/>
        </w:rPr>
        <w:t xml:space="preserve">PROCEDIMENTO MERAMENTE INFORMATIVO. DISPENSABILIDADE DO CONTRADITÓRIO E DA AMPLA DEFESA. </w:t>
      </w:r>
      <w:r w:rsidDel="00000000" w:rsidR="00000000" w:rsidRPr="00000000">
        <w:rPr>
          <w:rFonts w:ascii="Times New Roman" w:cs="Times New Roman" w:eastAsia="Times New Roman" w:hAnsi="Times New Roman"/>
          <w:sz w:val="20"/>
          <w:szCs w:val="20"/>
          <w:rtl w:val="0"/>
        </w:rPr>
        <w:t xml:space="preserve">RECURSO IMPROVIDO. </w:t>
      </w:r>
    </w:p>
    <w:p w:rsidR="00000000" w:rsidDel="00000000" w:rsidP="00000000" w:rsidRDefault="00000000" w:rsidRPr="00000000" w14:paraId="000000C7">
      <w:pPr>
        <w:keepNext w:val="1"/>
        <w:keepLines w:val="1"/>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8">
      <w:pPr>
        <w:keepNext w:val="1"/>
        <w:keepLines w:val="1"/>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w:t>
      </w:r>
      <w:r w:rsidDel="00000000" w:rsidR="00000000" w:rsidRPr="00000000">
        <w:rPr>
          <w:rFonts w:ascii="Times New Roman" w:cs="Times New Roman" w:eastAsia="Times New Roman" w:hAnsi="Times New Roman"/>
          <w:b w:val="1"/>
          <w:sz w:val="20"/>
          <w:szCs w:val="20"/>
          <w:rtl w:val="0"/>
        </w:rPr>
        <w:t xml:space="preserve">É cediço que o inquérito policial é peça meramente informativa, de modo que o exercício do contraditório e da ampla defesa, garantias que tornam devido o processo legal, não subsistem no âmbito do procedimento administrativo inquisitorial</w:t>
      </w:r>
      <w:r w:rsidDel="00000000" w:rsidR="00000000" w:rsidRPr="00000000">
        <w:rPr>
          <w:rFonts w:ascii="Times New Roman" w:cs="Times New Roman" w:eastAsia="Times New Roman" w:hAnsi="Times New Roman"/>
          <w:sz w:val="20"/>
          <w:szCs w:val="20"/>
          <w:rtl w:val="0"/>
        </w:rPr>
        <w:t xml:space="preserve"> (RHC 57.812/PR, Rel. Ministro Felix Fischer, Quinta Turma, DJe 22/10/2015).</w:t>
      </w:r>
    </w:p>
    <w:p w:rsidR="00000000" w:rsidDel="00000000" w:rsidP="00000000" w:rsidRDefault="00000000" w:rsidRPr="00000000" w14:paraId="000000C9">
      <w:pPr>
        <w:keepNext w:val="1"/>
        <w:keepLines w:val="1"/>
        <w:spacing w:after="20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5.</w:t>
      </w:r>
      <w:r w:rsidDel="00000000" w:rsidR="00000000" w:rsidRPr="00000000">
        <w:rPr>
          <w:rFonts w:ascii="Times New Roman" w:cs="Times New Roman" w:eastAsia="Times New Roman" w:hAnsi="Times New Roman"/>
          <w:b w:val="1"/>
          <w:sz w:val="20"/>
          <w:szCs w:val="20"/>
          <w:rtl w:val="0"/>
        </w:rPr>
        <w:t xml:space="preserve"> Possíveis nulidades ocorridas no inquérito policial em princípio não são aptas a macular o processo criminal, por se tratar de expediente meramente informativo, prescindível, inclusive, para o oferecimento da denúncia. Precedentes.</w:t>
      </w:r>
    </w:p>
    <w:p w:rsidR="00000000" w:rsidDel="00000000" w:rsidP="00000000" w:rsidRDefault="00000000" w:rsidRPr="00000000" w14:paraId="000000CA">
      <w:pPr>
        <w:keepNext w:val="1"/>
        <w:keepLines w:val="1"/>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Embargos de declaração recebidos como agravo regimental, ao qual se dá provimento para conhecer do recurso ordinário e negar-lhe provimento.</w:t>
      </w:r>
    </w:p>
    <w:p w:rsidR="00000000" w:rsidDel="00000000" w:rsidP="00000000" w:rsidRDefault="00000000" w:rsidRPr="00000000" w14:paraId="000000CB">
      <w:pPr>
        <w:keepNext w:val="1"/>
        <w:keepLines w:val="1"/>
        <w:spacing w:after="20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(EDcl no RHC n. 51.523/RJ, relator Ministro Nefi Cordeiro, Sexta Turma, julgado em 18/8/2016, DJe de 29/8/2016.) (Grifo nosso)  </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CC">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Observa-se, portanto, que o inquérito policial, elaborado administrativamente, destinado a apurar a existência de autoria e materialidade, em regra, deixa de ser regido pelos princípios constitucionais do contraditório e da ampla defesa, garantidos, no entanto, em solo judicial, com caráter probatório, motivo pelo qual o magistrado não pode fundamentar sua decisão exclusivamente em elementos informativos colhidos em solo policial. Assim, realizados os esclarecimentos propostos, passa-se à análise do mérito.</w:t>
      </w:r>
    </w:p>
    <w:p w:rsidR="00000000" w:rsidDel="00000000" w:rsidP="00000000" w:rsidRDefault="00000000" w:rsidRPr="00000000" w14:paraId="000000C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o art. 6° do Decreto Lei nº 3.689 de 03 de outubro de 1941, logo que a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Autoridade Policial </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tiver conhecimento da prática da infração penal, ela deverá, dentre outras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competências</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ouvir o indiciado.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Ocorre que, ao tomar conhecimento da formalização dos fatos em solo policial, o investigado evadiu-se para local incerto, ocasionando a expedição de mandado de prisão preventiva, que fora cumprido posteriormente.  </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CF">
      <w:pPr>
        <w:spacing w:after="200"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Por sua vez, o inciso LXIII da Carta Maior estabelece que “o preso será informado de seus direitos, entre os quais o de permanecer calado, sendo-lhe assegurada</w:t>
      </w:r>
      <w:r w:rsidDel="00000000" w:rsidR="00000000" w:rsidRPr="00000000">
        <w:rPr>
          <w:rFonts w:ascii="Times New Roman" w:cs="Times New Roman" w:eastAsia="Times New Roman" w:hAnsi="Times New Roman"/>
          <w:b w:val="1"/>
          <w:sz w:val="24"/>
          <w:szCs w:val="24"/>
          <w:rtl w:val="0"/>
        </w:rPr>
        <w:t xml:space="preserve"> a assistência da família e de advogado; ” (</w:t>
      </w:r>
      <w:r w:rsidDel="00000000" w:rsidR="00000000" w:rsidRPr="00000000">
        <w:rPr>
          <w:rFonts w:ascii="Times New Roman" w:cs="Times New Roman" w:eastAsia="Times New Roman" w:hAnsi="Times New Roman"/>
          <w:sz w:val="24"/>
          <w:szCs w:val="24"/>
          <w:rtl w:val="0"/>
        </w:rPr>
        <w:t xml:space="preserve">grifo nosso)</w:t>
      </w:r>
      <w:r w:rsidDel="00000000" w:rsidR="00000000" w:rsidRPr="00000000">
        <w:rPr>
          <w:rtl w:val="0"/>
        </w:rPr>
      </w:r>
    </w:p>
    <w:p w:rsidR="00000000" w:rsidDel="00000000" w:rsidP="00000000" w:rsidRDefault="00000000" w:rsidRPr="00000000" w14:paraId="000000D0">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Entretanto, a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Autoridade Policial</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responsável pela condução do inquérito policial conduziu os atos inquisitoriais de sua competência sem a presença de seu defensor técnico. Neste sentido, o Superior Tribunal de Justiça, entende: </w:t>
      </w:r>
    </w:p>
    <w:p w:rsidR="00000000" w:rsidDel="00000000" w:rsidP="00000000" w:rsidRDefault="00000000" w:rsidRPr="00000000" w14:paraId="000000D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pacífico o entendimento do Superior Tribunal de Justiça no sentido de que o inquérito policial é procedimento inquisitivo e</w:t>
      </w:r>
      <w:r w:rsidDel="00000000" w:rsidR="00000000" w:rsidRPr="00000000">
        <w:rPr>
          <w:rFonts w:ascii="Times New Roman" w:cs="Times New Roman" w:eastAsia="Times New Roman" w:hAnsi="Times New Roman"/>
          <w:b w:val="1"/>
          <w:sz w:val="20"/>
          <w:szCs w:val="20"/>
          <w:rtl w:val="0"/>
        </w:rPr>
        <w:t xml:space="preserve"> não sujeito ao contraditório</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sz w:val="20"/>
          <w:szCs w:val="20"/>
          <w:rtl w:val="0"/>
        </w:rPr>
        <w:t xml:space="preserve">razão pela qual a realização de interrogatório sem a presença de advogado não é causa de nulidade</w:t>
      </w:r>
      <w:r w:rsidDel="00000000" w:rsidR="00000000" w:rsidRPr="00000000">
        <w:rPr>
          <w:rFonts w:ascii="Times New Roman" w:cs="Times New Roman" w:eastAsia="Times New Roman" w:hAnsi="Times New Roman"/>
          <w:sz w:val="20"/>
          <w:szCs w:val="20"/>
          <w:rtl w:val="0"/>
        </w:rPr>
        <w:t xml:space="preserve"> (STJ, HC 139412 / SC, Relatora Ministra MARIA THEREZA DE ASSIS MOURA,DJe 22/03/2010). (Grifo nosso)</w:t>
      </w:r>
    </w:p>
    <w:p w:rsidR="00000000" w:rsidDel="00000000" w:rsidP="00000000" w:rsidRDefault="00000000" w:rsidRPr="00000000" w14:paraId="000000D2">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Em consonância com o entendimento do Tribunal, cabe transcrevemos o ensinamento doutrinário de Avena (2022, p.149): </w:t>
      </w:r>
    </w:p>
    <w:p w:rsidR="00000000" w:rsidDel="00000000" w:rsidP="00000000" w:rsidRDefault="00000000" w:rsidRPr="00000000" w14:paraId="000000D4">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O inquérito policial não se sujeita à declaração de nulidade</w:t>
      </w:r>
      <w:r w:rsidDel="00000000" w:rsidR="00000000" w:rsidRPr="00000000">
        <w:rPr>
          <w:rFonts w:ascii="Times New Roman" w:cs="Times New Roman" w:eastAsia="Times New Roman" w:hAnsi="Times New Roman"/>
          <w:sz w:val="20"/>
          <w:szCs w:val="20"/>
          <w:rtl w:val="0"/>
        </w:rPr>
        <w:t xml:space="preserve">. Isto porque, despindo-se a sua confecção de formalidades sacramentais (a lei não estabelece um procedimento específico para sua feitura), não pode padecer de vícios que o nulifiquem.</w:t>
      </w:r>
      <w:r w:rsidDel="00000000" w:rsidR="00000000" w:rsidRPr="00000000">
        <w:rPr>
          <w:rFonts w:ascii="Times New Roman" w:cs="Times New Roman" w:eastAsia="Times New Roman" w:hAnsi="Times New Roman"/>
          <w:b w:val="1"/>
          <w:sz w:val="20"/>
          <w:szCs w:val="20"/>
          <w:rtl w:val="0"/>
        </w:rPr>
        <w:t xml:space="preserve"> Isto não significa, obviamente, que uma determinada prova produzida no inquérito não possa vir a ser considerada nula no curso do processo criminal. </w:t>
      </w:r>
      <w:r w:rsidDel="00000000" w:rsidR="00000000" w:rsidRPr="00000000">
        <w:rPr>
          <w:rFonts w:ascii="Times New Roman" w:cs="Times New Roman" w:eastAsia="Times New Roman" w:hAnsi="Times New Roman"/>
          <w:sz w:val="20"/>
          <w:szCs w:val="20"/>
          <w:rtl w:val="0"/>
        </w:rPr>
        <w:t xml:space="preserve">Nessa hipótese, porém, </w:t>
      </w:r>
      <w:r w:rsidDel="00000000" w:rsidR="00000000" w:rsidRPr="00000000">
        <w:rPr>
          <w:rFonts w:ascii="Times New Roman" w:cs="Times New Roman" w:eastAsia="Times New Roman" w:hAnsi="Times New Roman"/>
          <w:b w:val="1"/>
          <w:sz w:val="20"/>
          <w:szCs w:val="20"/>
          <w:rtl w:val="0"/>
        </w:rPr>
        <w:t xml:space="preserve">a prova é que será nula e não o inquérito policial no bojo do qual ela foi realizada</w:t>
      </w:r>
      <w:r w:rsidDel="00000000" w:rsidR="00000000" w:rsidRPr="00000000">
        <w:rPr>
          <w:rFonts w:ascii="Times New Roman" w:cs="Times New Roman" w:eastAsia="Times New Roman" w:hAnsi="Times New Roman"/>
          <w:sz w:val="20"/>
          <w:szCs w:val="20"/>
          <w:rtl w:val="0"/>
        </w:rPr>
        <w:t xml:space="preserve">. Exemplo: perícia realizada na fase inquisitorial por peritos não oficiais desprovidos de curso superior. Em tal caso, o exame pericial será nulo, em face da violação ao art. 159, § 1.º, do CPP. Nem por isso, contudo, o inquérito policial ficará integralmente contaminado. Outra situação é a</w:t>
      </w:r>
      <w:r w:rsidDel="00000000" w:rsidR="00000000" w:rsidRPr="00000000">
        <w:rPr>
          <w:rFonts w:ascii="Times New Roman" w:cs="Times New Roman" w:eastAsia="Times New Roman" w:hAnsi="Times New Roman"/>
          <w:b w:val="1"/>
          <w:sz w:val="20"/>
          <w:szCs w:val="20"/>
          <w:rtl w:val="0"/>
        </w:rPr>
        <w:t xml:space="preserve"> realização do interrogatório do investigado sem a presença de seu advogado </w:t>
      </w:r>
      <w:r w:rsidDel="00000000" w:rsidR="00000000" w:rsidRPr="00000000">
        <w:rPr>
          <w:rFonts w:ascii="Times New Roman" w:cs="Times New Roman" w:eastAsia="Times New Roman" w:hAnsi="Times New Roman"/>
          <w:sz w:val="20"/>
          <w:szCs w:val="20"/>
          <w:rtl w:val="0"/>
        </w:rPr>
        <w:t xml:space="preserve">quando este manifestar interesse no acompanhamento do ato. Neste caso, por incidência do art. 7.º, XXI, da Lei 8.906/1994, o interrogatório será nulo, assim como todas as provas que, direta ou indiretamente, dele sejam decorrência. Mas, atenção: a previsão do referido inciso XXI foi inserida pela Lei 13.245/2016 ao Estatuto da OAB com o fim de evitar a colocação de entraves, pela autoridade policial, à participação do advogado na tomada dos depoimentos quando tiver manifestado expresso interesse neste acompanhamento. Logo,</w:t>
      </w:r>
      <w:r w:rsidDel="00000000" w:rsidR="00000000" w:rsidRPr="00000000">
        <w:rPr>
          <w:rFonts w:ascii="Times New Roman" w:cs="Times New Roman" w:eastAsia="Times New Roman" w:hAnsi="Times New Roman"/>
          <w:b w:val="1"/>
          <w:sz w:val="20"/>
          <w:szCs w:val="20"/>
          <w:rtl w:val="0"/>
        </w:rPr>
        <w:t xml:space="preserve"> não implica mitigação do caráter inquisitorial do inquérito, tampouco importa em conferir ao Delegado de Polícia a obrigação de intimar o causídico quanto às datas em que serão realizadas as inquirições, cabendo a ele (ao advogado), desejando assistir seu cliente, manter-se informado dos respectivos aprazamentos</w:t>
      </w:r>
      <w:r w:rsidDel="00000000" w:rsidR="00000000" w:rsidRPr="00000000">
        <w:rPr>
          <w:rFonts w:ascii="Times New Roman" w:cs="Times New Roman" w:eastAsia="Times New Roman" w:hAnsi="Times New Roman"/>
          <w:sz w:val="20"/>
          <w:szCs w:val="20"/>
          <w:rtl w:val="0"/>
        </w:rPr>
        <w:t xml:space="preserve">, mesmo porque, de acordo com o art. 7.º, XIV, da referida Lei, é direito do advogado “examinar, em qualquer instituição responsável por conduzir investigação, mesmo sem procuração, autos de flagrante e de investigações de qualquer natureza. (grifo nosso)</w:t>
      </w:r>
    </w:p>
    <w:p w:rsidR="00000000" w:rsidDel="00000000" w:rsidP="00000000" w:rsidRDefault="00000000" w:rsidRPr="00000000" w14:paraId="000000D5">
      <w:pPr>
        <w:spacing w:after="200" w:line="360" w:lineRule="auto"/>
        <w:ind w:firstLine="708"/>
        <w:jc w:val="both"/>
        <w:rPr>
          <w:rFonts w:ascii="Times New Roman" w:cs="Times New Roman" w:eastAsia="Times New Roman" w:hAnsi="Times New Roman"/>
          <w:sz w:val="24"/>
          <w:szCs w:val="24"/>
        </w:rPr>
      </w:pP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Dessarte</w:t>
      </w:r>
      <w:commentRangeEnd w:id="9"/>
      <w:r w:rsidDel="00000000" w:rsidR="00000000" w:rsidRPr="00000000">
        <w:commentReference w:id="9"/>
      </w:r>
      <w:r w:rsidDel="00000000" w:rsidR="00000000" w:rsidRPr="00000000">
        <w:rPr>
          <w:rFonts w:ascii="Times New Roman" w:cs="Times New Roman" w:eastAsia="Times New Roman" w:hAnsi="Times New Roman"/>
          <w:sz w:val="24"/>
          <w:szCs w:val="24"/>
          <w:rtl w:val="0"/>
        </w:rPr>
        <w:t xml:space="preserve">, por não se tratar de ato de manifestação do Poder Jurisdicional, mas de mero procedimento informativo destinado à formação da </w:t>
      </w:r>
      <w:r w:rsidDel="00000000" w:rsidR="00000000" w:rsidRPr="00000000">
        <w:rPr>
          <w:rFonts w:ascii="Times New Roman" w:cs="Times New Roman" w:eastAsia="Times New Roman" w:hAnsi="Times New Roman"/>
          <w:i w:val="1"/>
          <w:sz w:val="24"/>
          <w:szCs w:val="24"/>
          <w:rtl w:val="0"/>
        </w:rPr>
        <w:t xml:space="preserve">opinio delicti</w:t>
      </w:r>
      <w:r w:rsidDel="00000000" w:rsidR="00000000" w:rsidRPr="00000000">
        <w:rPr>
          <w:rFonts w:ascii="Times New Roman" w:cs="Times New Roman" w:eastAsia="Times New Roman" w:hAnsi="Times New Roman"/>
          <w:sz w:val="24"/>
          <w:szCs w:val="24"/>
          <w:rtl w:val="0"/>
        </w:rPr>
        <w:t xml:space="preserve"> do titular da ação penal, os vícios presentes em seu curso não o nulificam. Entretanto, a irregularidade poderá gerar a invalidade e a ineficácia do ato inquinado no decurso do processo.</w:t>
      </w:r>
    </w:p>
    <w:p w:rsidR="00000000" w:rsidDel="00000000" w:rsidP="00000000" w:rsidRDefault="00000000" w:rsidRPr="00000000" w14:paraId="000000D6">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por incidência do art. 7.º, XXI, da Lei 13.245/2016, o interrogatório será nulo quando o advogado manifestar expressamente seu interesse no acompanhamento do ato, cabendo a ele manter-se informado quanto às datas da respectiva diligência, sendo entendimento pacífico dos tribunais que a mera ausência do defensor não gera a nulidade do ato.</w:t>
      </w:r>
    </w:p>
    <w:p w:rsidR="00000000" w:rsidDel="00000000" w:rsidP="00000000" w:rsidRDefault="00000000" w:rsidRPr="00000000" w14:paraId="000000D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finalizar, destaca-se o julgado da Quinta Turma do Superior Tribunal de Justiça:</w:t>
      </w:r>
    </w:p>
    <w:p w:rsidR="00000000" w:rsidDel="00000000" w:rsidP="00000000" w:rsidRDefault="00000000" w:rsidRPr="00000000" w14:paraId="000000D8">
      <w:pPr>
        <w:spacing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INQUÉRITO POLICIAL. NULIDADES: </w:t>
      </w:r>
      <w:sdt>
        <w:sdtPr>
          <w:tag w:val="goog_rdk_10"/>
        </w:sdtPr>
        <w:sdtContent>
          <w:commentRangeStart w:id="10"/>
        </w:sdtContent>
      </w:sdt>
      <w:r w:rsidDel="00000000" w:rsidR="00000000" w:rsidRPr="00000000">
        <w:rPr>
          <w:rFonts w:ascii="Times New Roman" w:cs="Times New Roman" w:eastAsia="Times New Roman" w:hAnsi="Times New Roman"/>
          <w:sz w:val="20"/>
          <w:szCs w:val="20"/>
          <w:rtl w:val="0"/>
        </w:rPr>
        <w:t xml:space="preserve">“2. A jurisprudência desta Corte é assente no sentido de que “</w:t>
      </w:r>
      <w:r w:rsidDel="00000000" w:rsidR="00000000" w:rsidRPr="00000000">
        <w:rPr>
          <w:rFonts w:ascii="Times New Roman" w:cs="Times New Roman" w:eastAsia="Times New Roman" w:hAnsi="Times New Roman"/>
          <w:b w:val="1"/>
          <w:sz w:val="20"/>
          <w:szCs w:val="20"/>
          <w:rtl w:val="0"/>
        </w:rPr>
        <w:t xml:space="preserve">eventuais máculas na fase extrajudicial não têm o condão de contaminar a ação penal</w:t>
      </w:r>
      <w:r w:rsidDel="00000000" w:rsidR="00000000" w:rsidRPr="00000000">
        <w:rPr>
          <w:rFonts w:ascii="Times New Roman" w:cs="Times New Roman" w:eastAsia="Times New Roman" w:hAnsi="Times New Roman"/>
          <w:sz w:val="20"/>
          <w:szCs w:val="20"/>
          <w:rtl w:val="0"/>
        </w:rPr>
        <w:t xml:space="preserve">, dada a natureza meramente informativa do inquérito policial. ”</w:t>
      </w:r>
      <w:commentRangeEnd w:id="10"/>
      <w:r w:rsidDel="00000000" w:rsidR="00000000" w:rsidRPr="00000000">
        <w:commentReference w:id="10"/>
      </w:r>
      <w:r w:rsidDel="00000000" w:rsidR="00000000" w:rsidRPr="00000000">
        <w:rPr>
          <w:rFonts w:ascii="Times New Roman" w:cs="Times New Roman" w:eastAsia="Times New Roman" w:hAnsi="Times New Roman"/>
          <w:sz w:val="20"/>
          <w:szCs w:val="20"/>
          <w:rtl w:val="0"/>
        </w:rPr>
        <w:t xml:space="preserve"> (STJ, AgRg no RHC 145.950/SP, Rel. Min. Reynaldo Soares da Fonseca, Quinta Turma, DJe 7-5-2021). (Grifo nosso)</w:t>
      </w:r>
      <w:r w:rsidDel="00000000" w:rsidR="00000000" w:rsidRPr="00000000">
        <w:rPr>
          <w:rtl w:val="0"/>
        </w:rPr>
      </w:r>
    </w:p>
    <w:p w:rsidR="00000000" w:rsidDel="00000000" w:rsidP="00000000" w:rsidRDefault="00000000" w:rsidRPr="00000000" w14:paraId="000000D9">
      <w:pPr>
        <w:spacing w:line="24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jurisprudência é clara no sentido de que eventuais intercorrências geradas na fase inquisitorial não atingem a fase seguinte da persecução penal. Neste viés, </w:t>
      </w: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o processo não será inteiramente nulo</w:t>
      </w:r>
      <w:commentRangeEnd w:id="11"/>
      <w:r w:rsidDel="00000000" w:rsidR="00000000" w:rsidRPr="00000000">
        <w:commentReference w:id="11"/>
      </w:r>
      <w:r w:rsidDel="00000000" w:rsidR="00000000" w:rsidRPr="00000000">
        <w:rPr>
          <w:rFonts w:ascii="Times New Roman" w:cs="Times New Roman" w:eastAsia="Times New Roman" w:hAnsi="Times New Roman"/>
          <w:sz w:val="24"/>
          <w:szCs w:val="24"/>
          <w:rtl w:val="0"/>
        </w:rPr>
        <w:t xml:space="preserve"> caso seja decretada a nulidade de ato realizado na esfera policial. </w:t>
      </w:r>
    </w:p>
    <w:p w:rsidR="00000000" w:rsidDel="00000000" w:rsidP="00000000" w:rsidRDefault="00000000" w:rsidRPr="00000000" w14:paraId="000000D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seguir, passar-se-á a análise do segundo questionamento, afeto ao Direito Penal.</w:t>
      </w:r>
    </w:p>
    <w:p w:rsidR="00000000" w:rsidDel="00000000" w:rsidP="00000000" w:rsidRDefault="00000000" w:rsidRPr="00000000" w14:paraId="000000DC">
      <w:pPr>
        <w:spacing w:line="360" w:lineRule="auto"/>
        <w:ind w:right="-466"/>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DD">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pStyle w:val="Heading2"/>
        <w:spacing w:after="240" w:before="240" w:line="360" w:lineRule="auto"/>
        <w:jc w:val="both"/>
        <w:rPr>
          <w:rFonts w:ascii="Times New Roman" w:cs="Times New Roman" w:eastAsia="Times New Roman" w:hAnsi="Times New Roman"/>
          <w:sz w:val="24"/>
          <w:szCs w:val="24"/>
        </w:rPr>
      </w:pPr>
      <w:bookmarkStart w:colFirst="0" w:colLast="0" w:name="_heading=h.3dy6vkm" w:id="6"/>
      <w:bookmarkEnd w:id="6"/>
      <w:r w:rsidDel="00000000" w:rsidR="00000000" w:rsidRPr="00000000">
        <w:rPr>
          <w:rFonts w:ascii="Times New Roman" w:cs="Times New Roman" w:eastAsia="Times New Roman" w:hAnsi="Times New Roman"/>
          <w:sz w:val="28"/>
          <w:szCs w:val="28"/>
          <w:rtl w:val="0"/>
        </w:rPr>
        <w:t xml:space="preserve">2.2 DIREITO PENAL</w:t>
      </w: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visto no tópico anterior, eventuais vícios na fase extrajudicial não contaminam a ação penal nem anulam o processo. Assim, caso o denunciado seja condenado pelo incurso no artigo 217-A do Código Penal cumprirá a pena imposta seguindo o rito legal da legislação vigente. </w:t>
      </w:r>
    </w:p>
    <w:p w:rsidR="00000000" w:rsidDel="00000000" w:rsidP="00000000" w:rsidRDefault="00000000" w:rsidRPr="00000000" w14:paraId="000000E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Nas palavras do doutrinador Guilherme de Souza Nucci (2021, p.521), pena “É a sanção imposta pelo Estado, por meio de ação penal, ao criminoso como retribuição ao delito perpetrado e prevenção a novos crimes. ” Logo, para compreendermos se há a possibilidade de Sérgio Lorota cumprir pena integralmente no presídio em caso de condenação, alguns tópicos precisam ser abordados.</w:t>
      </w:r>
    </w:p>
    <w:p w:rsidR="00000000" w:rsidDel="00000000" w:rsidP="00000000" w:rsidRDefault="00000000" w:rsidRPr="00000000" w14:paraId="000000E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deles, crime hediondo. Segundo o Conselho Nacional do Ministério Público é um adjetivo que qualifica o crime que, por sua natureza, causa repulsa, sendo inafiançável e insuscetível de indulto ou graça, anistia, fiança e liberdade provisória. Considera-se hediondo, dentre outros crimes, o estupro.</w:t>
      </w:r>
    </w:p>
    <w:p w:rsidR="00000000" w:rsidDel="00000000" w:rsidP="00000000" w:rsidRDefault="00000000" w:rsidRPr="00000000" w14:paraId="000000E4">
      <w:pPr>
        <w:spacing w:after="200" w:line="360" w:lineRule="auto"/>
        <w:ind w:firstLine="708"/>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Adiante, destaca-se que as espécies de penas privativas de liberdade existentes são: reclusão, detenção e prisão simples, sendo, esta última, aplicada a contravenções penais, conforme disposto no art. 5º, I, do Decreto-Lei nº. 3.688/41.</w:t>
      </w:r>
      <w:r w:rsidDel="00000000" w:rsidR="00000000" w:rsidRPr="00000000">
        <w:rPr>
          <w:rtl w:val="0"/>
        </w:rPr>
      </w:r>
    </w:p>
    <w:p w:rsidR="00000000" w:rsidDel="00000000" w:rsidP="00000000" w:rsidRDefault="00000000" w:rsidRPr="00000000" w14:paraId="000000E5">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Ordenamento Jurídico e os ensinamentos doutrinários de Nucci (2021, p.581), são basicamente quatro diferenças existentes entre as espécies de pena:</w:t>
      </w:r>
    </w:p>
    <w:p w:rsidR="00000000" w:rsidDel="00000000" w:rsidP="00000000" w:rsidRDefault="00000000" w:rsidRPr="00000000" w14:paraId="000000E6">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 reclusão é cumprida inicialmente nos regimes fechado, semiaberto e aberto; a detenção somente pode ter início no regime semiaberto ou aberto (art. 33, caput, CP);</w:t>
      </w:r>
    </w:p>
    <w:p w:rsidR="00000000" w:rsidDel="00000000" w:rsidP="00000000" w:rsidRDefault="00000000" w:rsidRPr="00000000" w14:paraId="000000E8">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 a reclusão pode ter por efeito da condenação a incapacidade para o exercício do poder familiar, da tutela ou da curatela nos crimes dolosos, sujeitos a esse tipo de pena, cometidos contra outrem igualmente titular do mesmo poder familiar, contra filho, filha ou outro descendente ou contra tutelado ou curatelado (art. 92, II, CP);</w:t>
      </w:r>
    </w:p>
    <w:p w:rsidR="00000000" w:rsidDel="00000000" w:rsidP="00000000" w:rsidRDefault="00000000" w:rsidRPr="00000000" w14:paraId="000000E9">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 a reclusão propicia a internação nos casos de medida de segurança; a detenção permite a aplicação do regime de tratamento ambulatorial (art. 97, CP);</w:t>
      </w:r>
    </w:p>
    <w:p w:rsidR="00000000" w:rsidDel="00000000" w:rsidP="00000000" w:rsidRDefault="00000000" w:rsidRPr="00000000" w14:paraId="000000EA">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 a reclusão é cumprida em primeiro lugar (art. 69, caput, parte final, CP).</w:t>
        <w:tab/>
      </w:r>
    </w:p>
    <w:p w:rsidR="00000000" w:rsidDel="00000000" w:rsidP="00000000" w:rsidRDefault="00000000" w:rsidRPr="00000000" w14:paraId="000000EB">
      <w:pPr>
        <w:spacing w:line="360" w:lineRule="auto"/>
        <w:ind w:left="2834" w:right="-466"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desta temática, veja que o artigo 110 da Lei de Execução Penal determina que “O Juiz, na sentença, estabelecerá o regime no qual o condenado iniciará o cumprimento da pena privativa de liberdade, observado o disposto no CP, art. 33 e seus parágrafos do Código Penal. ”</w:t>
      </w:r>
    </w:p>
    <w:p w:rsidR="00000000" w:rsidDel="00000000" w:rsidP="00000000" w:rsidRDefault="00000000" w:rsidRPr="00000000" w14:paraId="000000E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Penal em seu artigo 33 caput estabelece os regimes iniciais de cumprimento de pena para cada modalidade. Note-se que a reclusão estará sujeita aos infratores que cometerem delitos mais gravosos, possuindo como regime inicial o fechado, ao passo que a detenção se sujeitará a crimes de menor impacto, onde o início em regime fechado não é admitido, salvo necessidade de transferência para este.</w:t>
      </w:r>
    </w:p>
    <w:p w:rsidR="00000000" w:rsidDel="00000000" w:rsidP="00000000" w:rsidRDefault="00000000" w:rsidRPr="00000000" w14:paraId="000000E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em relação aos regimes de cumprimento de pena descritos no Código Penal destaca-se que no regime fechado a pena é cumprida em estabelecimento penal de segurança máxima ou média; no regime semiaberto o sentenciado será destinado à colônia penal agrícola, industrial ou estabelecimento equivalente; já, quando o regime estabelecido for o aberto, o agente poderá trabalhar ou frequentar cursos em liberdade, durante o dia e recolher-se em casa de albergado ou entidade similar durante à noite e nos dias de folga. (CAPEZ, 2014, p.381)</w:t>
      </w:r>
    </w:p>
    <w:p w:rsidR="00000000" w:rsidDel="00000000" w:rsidP="00000000" w:rsidRDefault="00000000" w:rsidRPr="00000000" w14:paraId="000000E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Estabelecida as diferenças entres as espécies de pena e os regimes de cumprimento passa-se à análise do caso concreto.</w:t>
      </w:r>
    </w:p>
    <w:p w:rsidR="00000000" w:rsidDel="00000000" w:rsidP="00000000" w:rsidRDefault="00000000" w:rsidRPr="00000000" w14:paraId="000000F0">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acusado foi denunciado como incurso no artigo 217-A do Código Penal, crime hediondo cuja pena é de reclusão de 8 (oito) a 15 (quinze) anos, logo, seu regime inicial de cumprimento de pena será o fechado, como dispõe art. 33, §2º, CP: “o condenado à pena superior a 8 (oito) anos deverá começar a cumpri-la em regime fechado. ”</w:t>
      </w:r>
    </w:p>
    <w:p w:rsidR="00000000" w:rsidDel="00000000" w:rsidP="00000000" w:rsidRDefault="00000000" w:rsidRPr="00000000" w14:paraId="000000F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Salienta-se que conforme narrado pela consulente, o denunciado fora condenado pelo delito de Tráfico de Drogas, encerrando o cumprimento de sua pena há quatro anos. A respeito da reincidência, o Código Penal, em seus artigos 61, I, e 63 estabelecem:</w:t>
      </w:r>
    </w:p>
    <w:p w:rsidR="00000000" w:rsidDel="00000000" w:rsidP="00000000" w:rsidRDefault="00000000" w:rsidRPr="00000000" w14:paraId="000000F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61 - São circunstâncias que sempre agravam a pena, quando não constituem ou qualificam o crime:</w:t>
      </w:r>
    </w:p>
    <w:p w:rsidR="00000000" w:rsidDel="00000000" w:rsidP="00000000" w:rsidRDefault="00000000" w:rsidRPr="00000000" w14:paraId="000000F3">
      <w:pPr>
        <w:spacing w:after="240" w:before="24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I - </w:t>
      </w:r>
      <w:r w:rsidDel="00000000" w:rsidR="00000000" w:rsidRPr="00000000">
        <w:rPr>
          <w:rFonts w:ascii="Times New Roman" w:cs="Times New Roman" w:eastAsia="Times New Roman" w:hAnsi="Times New Roman"/>
          <w:b w:val="1"/>
          <w:sz w:val="20"/>
          <w:szCs w:val="20"/>
          <w:rtl w:val="0"/>
        </w:rPr>
        <w:t xml:space="preserve">a reincidência;</w:t>
      </w:r>
    </w:p>
    <w:p w:rsidR="00000000" w:rsidDel="00000000" w:rsidP="00000000" w:rsidRDefault="00000000" w:rsidRPr="00000000" w14:paraId="000000F4">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F5">
      <w:pPr>
        <w:spacing w:after="240" w:before="24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Art. 63 - </w:t>
      </w:r>
      <w:r w:rsidDel="00000000" w:rsidR="00000000" w:rsidRPr="00000000">
        <w:rPr>
          <w:rFonts w:ascii="Times New Roman" w:cs="Times New Roman" w:eastAsia="Times New Roman" w:hAnsi="Times New Roman"/>
          <w:b w:val="1"/>
          <w:sz w:val="20"/>
          <w:szCs w:val="20"/>
          <w:rtl w:val="0"/>
        </w:rPr>
        <w:t xml:space="preserve">Verifica-se a reincidência quando o agente comete novo crime, depois de transitar em julgado a sentença que, no País ou no estrangeiro, o tenha condenado por crime anterior. </w:t>
      </w:r>
      <w:r w:rsidDel="00000000" w:rsidR="00000000" w:rsidRPr="00000000">
        <w:rPr>
          <w:rFonts w:ascii="Times New Roman" w:cs="Times New Roman" w:eastAsia="Times New Roman" w:hAnsi="Times New Roman"/>
          <w:sz w:val="20"/>
          <w:szCs w:val="20"/>
          <w:rtl w:val="0"/>
        </w:rPr>
        <w:t xml:space="preserve">(grifo nosso).</w:t>
      </w:r>
      <w:r w:rsidDel="00000000" w:rsidR="00000000" w:rsidRPr="00000000">
        <w:rPr>
          <w:rtl w:val="0"/>
        </w:rPr>
      </w:r>
    </w:p>
    <w:p w:rsidR="00000000" w:rsidDel="00000000" w:rsidP="00000000" w:rsidRDefault="00000000" w:rsidRPr="00000000" w14:paraId="000000F6">
      <w:pPr>
        <w:spacing w:line="360" w:lineRule="auto"/>
        <w:ind w:right="-466"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o artigo publicado há quatro anos, por Victor Emanuel Leite, no sítio jurídico “Jusbrasil”, dentre as espécies de reincidência existentes, ressalta-se a reincidência específica, quando os crimes praticados pelo condenado são da mesma espécie e a reincidência genérica, quando os crimes praticados pelo agente são de espécies distintas.</w:t>
      </w:r>
    </w:p>
    <w:p w:rsidR="00000000" w:rsidDel="00000000" w:rsidP="00000000" w:rsidRDefault="00000000" w:rsidRPr="00000000" w14:paraId="000000F8">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Destaca-se, ainda, que o artigo 64, I, do mesmo ordenamento legal dispõe a respeito do período depurador. Neste jaez, decorridos cinco anos do cumprimento da pena do crime anterior ou de sua extinção por qualquer outro motivo, o agente considerar-se-á réu primário, portador de maus antecedentes e não reincidente. </w:t>
      </w:r>
    </w:p>
    <w:p w:rsidR="00000000" w:rsidDel="00000000" w:rsidP="00000000" w:rsidRDefault="00000000" w:rsidRPr="00000000" w14:paraId="000000F9">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cumpre frisar que o delito de tráfico ilícito de entorpecentes, no qual Sérgio foi condenado, é equiparado a crime hediondo. Veja-se a jurisprudência do Superior Tribunal de Justiça acerca do tema:</w:t>
      </w:r>
    </w:p>
    <w:p w:rsidR="00000000" w:rsidDel="00000000" w:rsidP="00000000" w:rsidRDefault="00000000" w:rsidRPr="00000000" w14:paraId="000000FA">
      <w:pPr>
        <w:spacing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Os precedentes das duas Turmas que compõem a Terceira Seção do Superior Tribunal de Justiça são no sentido de que, diferentemente da conjuntura relativa ao tráfico privilegiado, </w:t>
      </w:r>
      <w:r w:rsidDel="00000000" w:rsidR="00000000" w:rsidRPr="00000000">
        <w:rPr>
          <w:rFonts w:ascii="Times New Roman" w:cs="Times New Roman" w:eastAsia="Times New Roman" w:hAnsi="Times New Roman"/>
          <w:b w:val="1"/>
          <w:sz w:val="20"/>
          <w:szCs w:val="20"/>
          <w:rtl w:val="0"/>
        </w:rPr>
        <w:t xml:space="preserve">a própria Constituição Federal, em seu art. 5°, XLIII, rotulou como mais graves, tal qual os crimes hediondos </w:t>
      </w:r>
      <w:r w:rsidDel="00000000" w:rsidR="00000000" w:rsidRPr="00000000">
        <w:rPr>
          <w:rFonts w:ascii="Times New Roman" w:cs="Times New Roman" w:eastAsia="Times New Roman" w:hAnsi="Times New Roman"/>
          <w:sz w:val="20"/>
          <w:szCs w:val="20"/>
          <w:rtl w:val="0"/>
        </w:rPr>
        <w:t xml:space="preserve">(a serem definidos por lei ordinária), os delitos de tortura, </w:t>
      </w:r>
      <w:r w:rsidDel="00000000" w:rsidR="00000000" w:rsidRPr="00000000">
        <w:rPr>
          <w:rFonts w:ascii="Times New Roman" w:cs="Times New Roman" w:eastAsia="Times New Roman" w:hAnsi="Times New Roman"/>
          <w:b w:val="1"/>
          <w:sz w:val="20"/>
          <w:szCs w:val="20"/>
          <w:rtl w:val="0"/>
        </w:rPr>
        <w:t xml:space="preserve">o tráfico ilícito de entorpecentes </w:t>
      </w:r>
      <w:r w:rsidDel="00000000" w:rsidR="00000000" w:rsidRPr="00000000">
        <w:rPr>
          <w:rFonts w:ascii="Times New Roman" w:cs="Times New Roman" w:eastAsia="Times New Roman" w:hAnsi="Times New Roman"/>
          <w:sz w:val="20"/>
          <w:szCs w:val="20"/>
          <w:rtl w:val="0"/>
        </w:rPr>
        <w:t xml:space="preserve">e o terrorismo" (STJ, Sexta Turma, AgRg no HC n. 747.089/SP, Rel. Ministro Sebastião Reis Júnior, julgado em 21-6-2022). (Grifo nosso)</w:t>
      </w:r>
      <w:r w:rsidDel="00000000" w:rsidR="00000000" w:rsidRPr="00000000">
        <w:rPr>
          <w:rtl w:val="0"/>
        </w:rPr>
      </w:r>
    </w:p>
    <w:p w:rsidR="00000000" w:rsidDel="00000000" w:rsidP="00000000" w:rsidRDefault="00000000" w:rsidRPr="00000000" w14:paraId="000000FB">
      <w:pPr>
        <w:spacing w:line="360" w:lineRule="auto"/>
        <w:ind w:right="-466"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em desfavor do denunciado pesa sentença penal condenatória anterior não superior a cinco anos do cumprimento da pena, tornando-o, deste modo, reincidente genérico na prática de crime hediondo por equiparação.</w:t>
      </w:r>
    </w:p>
    <w:p w:rsidR="00000000" w:rsidDel="00000000" w:rsidP="00000000" w:rsidRDefault="00000000" w:rsidRPr="00000000" w14:paraId="000000F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Ocorre que, visando possibilitar a ressocialização do condenado e desde que preenchidos os requisitos legais determinados, poderá ele passar gradativamente de um regime mais rigoroso para outro mais brando (art. 33, §2° do CP).</w:t>
      </w:r>
    </w:p>
    <w:p w:rsidR="00000000" w:rsidDel="00000000" w:rsidP="00000000" w:rsidRDefault="00000000" w:rsidRPr="00000000" w14:paraId="000000FE">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Nos termos do art. 112, VII e §1° da Lei de Execução Penal: </w:t>
      </w:r>
    </w:p>
    <w:p w:rsidR="00000000" w:rsidDel="00000000" w:rsidP="00000000" w:rsidRDefault="00000000" w:rsidRPr="00000000" w14:paraId="000000FF">
      <w:pPr>
        <w:spacing w:line="360" w:lineRule="auto"/>
        <w:ind w:left="2834" w:right="-466"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A pena privativa de liberdade será executada em forma progressiva com a transferência para regime menos rigoroso, a ser determinada pelo juiz, quando o preso tiver cumprido ao menos: </w:t>
      </w:r>
    </w:p>
    <w:p w:rsidR="00000000" w:rsidDel="00000000" w:rsidP="00000000" w:rsidRDefault="00000000" w:rsidRPr="00000000" w14:paraId="0000010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2">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VII - 60% (sessenta por cento) da pena, se o apenado for reincidente na prática de crime hediondo ou equiparado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3">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4">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 1º Em todos os casos, o apenado só terá direito à progressão de regime se ostentar boa conduta carcerária, comprovada pelo diretor do estabelecimento, respeitadas as normas que vedam a progressão. </w:t>
      </w: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105">
      <w:pPr>
        <w:spacing w:line="360" w:lineRule="auto"/>
        <w:ind w:left="2834" w:right="-466"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spacing w:after="200" w:line="360" w:lineRule="auto"/>
        <w:ind w:firstLine="708"/>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Portanto, para a progressão do regime fechado para o semiaberto, o condenado deverá cumprir 60% (sessenta por cento) do montante exigido da pena imposta na sentença (critério objetivo), bem como ostentar boa conduta carcerária comprovada pelo diretor do estabelecimento (critério subjetivo).</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10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frisar que as cortes superiores firmam o seguinte entendimento quanto o marco para a progressão de regime: </w:t>
      </w:r>
    </w:p>
    <w:p w:rsidR="00000000" w:rsidDel="00000000" w:rsidP="00000000" w:rsidRDefault="00000000" w:rsidRPr="00000000" w14:paraId="00000108">
      <w:pPr>
        <w:spacing w:line="240" w:lineRule="auto"/>
        <w:ind w:left="2267" w:firstLine="708.0000000000001"/>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EM EXECUÇÃO - PROGRESSÃO DE REGIME - </w:t>
      </w:r>
      <w:r w:rsidDel="00000000" w:rsidR="00000000" w:rsidRPr="00000000">
        <w:rPr>
          <w:rFonts w:ascii="Times New Roman" w:cs="Times New Roman" w:eastAsia="Times New Roman" w:hAnsi="Times New Roman"/>
          <w:b w:val="1"/>
          <w:sz w:val="20"/>
          <w:szCs w:val="20"/>
          <w:rtl w:val="0"/>
        </w:rPr>
        <w:t xml:space="preserve">CONDENADO POR CRIME HEDIONDO REINCIDENTE EM CRIME HEDIONDO - CASO QUE DEMANDA O CUMPRIMENTO DE 60% DA PENA PARA FINS DE PROGRESSÃO. Sendo o reeducando reincidente específico na prática de crime hediondo, a progressão do regime deve ocorrer somente após o cumprimento de 60% (sessenta por cento) da pena, nos termos do art.112, V, da LEP. </w:t>
      </w:r>
      <w:r w:rsidDel="00000000" w:rsidR="00000000" w:rsidRPr="00000000">
        <w:rPr>
          <w:rFonts w:ascii="Times New Roman" w:cs="Times New Roman" w:eastAsia="Times New Roman" w:hAnsi="Times New Roman"/>
          <w:sz w:val="20"/>
          <w:szCs w:val="20"/>
          <w:rtl w:val="0"/>
        </w:rPr>
        <w:t xml:space="preserve"> (TJMG -  Agravo em Execução Penal  1.0024.13.087143-7/001, Relator(a): Des.(a) Furtado de Mendonça , 6ª CÂMARA CRIMINAL, julgamento em 22/06/2021, publicação da súmula em 23/06/2021) (grifo nosso)</w:t>
      </w:r>
    </w:p>
    <w:p w:rsidR="00000000" w:rsidDel="00000000" w:rsidP="00000000" w:rsidRDefault="00000000" w:rsidRPr="00000000" w14:paraId="00000109">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do inteiro teor do acórdão do Agravo em Execução Penal 1.0024.13.087143-7/001 destaca-se:</w:t>
      </w:r>
    </w:p>
    <w:p w:rsidR="00000000" w:rsidDel="00000000" w:rsidP="00000000" w:rsidRDefault="00000000" w:rsidRPr="00000000" w14:paraId="0000010B">
      <w:pPr>
        <w:spacing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Observa-se que com a alteração legislativa, da forma como restou redigido o artigo 112 da LEP, </w:t>
      </w:r>
      <w:r w:rsidDel="00000000" w:rsidR="00000000" w:rsidRPr="00000000">
        <w:rPr>
          <w:rFonts w:ascii="Times New Roman" w:cs="Times New Roman" w:eastAsia="Times New Roman" w:hAnsi="Times New Roman"/>
          <w:b w:val="1"/>
          <w:sz w:val="20"/>
          <w:szCs w:val="20"/>
          <w:rtl w:val="0"/>
        </w:rPr>
        <w:t xml:space="preserve">para que seja exigível o cumprimento de 3/5 da pena (60%), se mostra necessário que o apenado seja reincidente na prática de crime hediondo ou equiparado. Ou seja, o reeducando deve suportar nova condenação pela prática de crime hediondo, após já ter sido anteriormente condenado por delito de mesma natureza.</w:t>
      </w:r>
    </w:p>
    <w:p w:rsidR="00000000" w:rsidDel="00000000" w:rsidP="00000000" w:rsidRDefault="00000000" w:rsidRPr="00000000" w14:paraId="0000010C">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Ocorre que, na espécie, ao contrário do que alegou a defesa, o reeducando é sim reincidente específico na prática de crime hediondo, posto que, conforme CAC juntada aos autos, ele foi condenado no processo 1200355-07-2017.8.13.0024 pela prática do crime previsto no art.33, caput, da Lei 11.343/06, quando já possuía anteriormente outra condenação, pelo mesmo delito, já transitada em julgado (processo n.º 0531991-08.2012.8.13.0024).</w:t>
      </w:r>
    </w:p>
    <w:p w:rsidR="00000000" w:rsidDel="00000000" w:rsidP="00000000" w:rsidRDefault="00000000" w:rsidRPr="00000000" w14:paraId="0000010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Portanto, sendo o reeducando reincidente específico na prática de crime hediondo, a progressão do regime deve ocorrer somente após o cumprimento de 60% (sessenta por cento) da pena. </w:t>
      </w: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10E">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salienta-se que há também a possibilidade do condenado regredir para qualquer dos crimes mais rigorosos, caso pratique alguma das condutas tipificadas no artigo 118 da LEP:</w:t>
      </w:r>
    </w:p>
    <w:p w:rsidR="00000000" w:rsidDel="00000000" w:rsidP="00000000" w:rsidRDefault="00000000" w:rsidRPr="00000000" w14:paraId="00000110">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118. A execução da pena privativa de liberdade ficará sujeita à forma regressiva, com a transferência para qualquer dos regimes mais rigorosos, quando o condenado:</w:t>
      </w:r>
    </w:p>
    <w:p w:rsidR="00000000" w:rsidDel="00000000" w:rsidP="00000000" w:rsidRDefault="00000000" w:rsidRPr="00000000" w14:paraId="00000111">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praticar fato definido como crime doloso ou falta grave;</w:t>
      </w:r>
    </w:p>
    <w:p w:rsidR="00000000" w:rsidDel="00000000" w:rsidP="00000000" w:rsidRDefault="00000000" w:rsidRPr="00000000" w14:paraId="00000112">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sofrer condenação, por crime anterior, cuja pena, somada ao restante da pena em execução, torne incabível o regime (artigo 111).</w:t>
      </w:r>
    </w:p>
    <w:p w:rsidR="00000000" w:rsidDel="00000000" w:rsidP="00000000" w:rsidRDefault="00000000" w:rsidRPr="00000000" w14:paraId="00000113">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 O condenado será transferido do regime aberto se, além das hipóteses referidas nos incisos anteriores, frustrar os fins da execução ou não pagar, podendo, a multa cumulativamente imposta.</w:t>
      </w:r>
    </w:p>
    <w:p w:rsidR="00000000" w:rsidDel="00000000" w:rsidP="00000000" w:rsidRDefault="00000000" w:rsidRPr="00000000" w14:paraId="00000114">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5">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dispõe a Lei de Execução Penal que:</w:t>
      </w:r>
    </w:p>
    <w:p w:rsidR="00000000" w:rsidDel="00000000" w:rsidP="00000000" w:rsidRDefault="00000000" w:rsidRPr="00000000" w14:paraId="00000116">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w:t>
      </w:r>
    </w:p>
    <w:p w:rsidR="00000000" w:rsidDel="00000000" w:rsidP="00000000" w:rsidRDefault="00000000" w:rsidRPr="00000000" w14:paraId="00000117">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ab/>
        <w:tab/>
        <w:tab/>
        <w:tab/>
        <w:t xml:space="preserve">[...]</w:t>
      </w:r>
    </w:p>
    <w:p w:rsidR="00000000" w:rsidDel="00000000" w:rsidP="00000000" w:rsidRDefault="00000000" w:rsidRPr="00000000" w14:paraId="00000118">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6º - O cometimento de falta grave durante a execução da pena privativa de liberdade </w:t>
      </w:r>
      <w:r w:rsidDel="00000000" w:rsidR="00000000" w:rsidRPr="00000000">
        <w:rPr>
          <w:rFonts w:ascii="Times New Roman" w:cs="Times New Roman" w:eastAsia="Times New Roman" w:hAnsi="Times New Roman"/>
          <w:b w:val="1"/>
          <w:sz w:val="20"/>
          <w:szCs w:val="20"/>
          <w:rtl w:val="0"/>
        </w:rPr>
        <w:t xml:space="preserve">interrompe o prazo para a obtenção da progressão no regime de cumprimento da pena</w:t>
      </w:r>
      <w:r w:rsidDel="00000000" w:rsidR="00000000" w:rsidRPr="00000000">
        <w:rPr>
          <w:rFonts w:ascii="Times New Roman" w:cs="Times New Roman" w:eastAsia="Times New Roman" w:hAnsi="Times New Roman"/>
          <w:sz w:val="20"/>
          <w:szCs w:val="20"/>
          <w:rtl w:val="0"/>
        </w:rPr>
        <w:t xml:space="preserve">, caso em que o reinício da contagem do requisito objetivo terá como base a pena remanescente. (Grifo nosso)</w:t>
      </w:r>
    </w:p>
    <w:p w:rsidR="00000000" w:rsidDel="00000000" w:rsidP="00000000" w:rsidRDefault="00000000" w:rsidRPr="00000000" w14:paraId="00000119">
      <w:pPr>
        <w:spacing w:line="360" w:lineRule="auto"/>
        <w:ind w:left="2834" w:right="-466"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Outro não é o entendimento sumulado: “A prática de falta grave interrompe a contagem do prazo para a progressão de regime de cumprimento de pena, o qual se reinicia a partir do cometimento dessa infração. ” (Súmula 534 do STJ).</w:t>
      </w:r>
      <w:r w:rsidDel="00000000" w:rsidR="00000000" w:rsidRPr="00000000">
        <w:rPr>
          <w:rtl w:val="0"/>
        </w:rPr>
      </w:r>
    </w:p>
    <w:p w:rsidR="00000000" w:rsidDel="00000000" w:rsidP="00000000" w:rsidRDefault="00000000" w:rsidRPr="00000000" w14:paraId="0000011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título de complementação, consigna-se o instituto da remição tipificado nos artigos 126 a 130 da Lei de Execução Penal. </w:t>
      </w:r>
    </w:p>
    <w:p w:rsidR="00000000" w:rsidDel="00000000" w:rsidP="00000000" w:rsidRDefault="00000000" w:rsidRPr="00000000" w14:paraId="0000011C">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remição o sentenciado por meio de estudo ou trabalho pode diminuir o seu tempo de cumprimento de pena. Rege o artigo 126, §1° que para remir um dia da sua pena o condenado deverá cumprir três dias de trabalho ou doze horas de frequência escolar.</w:t>
      </w:r>
    </w:p>
    <w:p w:rsidR="00000000" w:rsidDel="00000000" w:rsidP="00000000" w:rsidRDefault="00000000" w:rsidRPr="00000000" w14:paraId="0000011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126.  O condenado que cumpre a pena em regime fechado ou semiaberto poderá remir, por trabalho ou por estudo, parte do tempo de execução da pena.   </w:t>
      </w:r>
    </w:p>
    <w:p w:rsidR="00000000" w:rsidDel="00000000" w:rsidP="00000000" w:rsidRDefault="00000000" w:rsidRPr="00000000" w14:paraId="0000011E">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1o  A contagem de tempo referida no caput será feita à razão de: </w:t>
      </w:r>
    </w:p>
    <w:p w:rsidR="00000000" w:rsidDel="00000000" w:rsidP="00000000" w:rsidRDefault="00000000" w:rsidRPr="00000000" w14:paraId="0000011F">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I- 1 (um) dia de pena a cada 12 (doze) horas de frequência escolar - atividade de ensino fundamental, médio, inclusive profissionalizante, ou superior, ou ainda de requalificação profissional - divididas, no mínimo, em 3 (três) dias; </w:t>
      </w:r>
    </w:p>
    <w:p w:rsidR="00000000" w:rsidDel="00000000" w:rsidP="00000000" w:rsidRDefault="00000000" w:rsidRPr="00000000" w14:paraId="0000012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- 1 (um) dia de pena a cada 3 (três) dias de trabalho. </w:t>
      </w:r>
    </w:p>
    <w:p w:rsidR="00000000" w:rsidDel="00000000" w:rsidP="00000000" w:rsidRDefault="00000000" w:rsidRPr="00000000" w14:paraId="00000121">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para que o condenado faça jus à remição, o juiz responsável pela execução penal deverá declarar o benefício somente após ouvidos o Ministério Público e a defesa (art.126, §8º, LEP), e em caso de falta grave o condenado poderá perder até ⅓ do tempo remido, recomeçando a contagem a partir da data da infração disciplinar (art. 127, caput, LEP).</w:t>
      </w:r>
    </w:p>
    <w:p w:rsidR="00000000" w:rsidDel="00000000" w:rsidP="00000000" w:rsidRDefault="00000000" w:rsidRPr="00000000" w14:paraId="00000123">
      <w:pPr>
        <w:shd w:fill="fafafa" w:val="clea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próximo tópico, analisar-se-á o terceiro questionamento, relacionado ao Direito Processual Civil, mormente a questão recursal.</w:t>
      </w:r>
    </w:p>
    <w:p w:rsidR="00000000" w:rsidDel="00000000" w:rsidP="00000000" w:rsidRDefault="00000000" w:rsidRPr="00000000" w14:paraId="00000124">
      <w:pPr>
        <w:spacing w:line="360" w:lineRule="auto"/>
        <w:ind w:right="-466"/>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25">
      <w:pPr>
        <w:spacing w:line="360" w:lineRule="auto"/>
        <w:ind w:right="-4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pStyle w:val="Heading2"/>
        <w:spacing w:after="240" w:before="240" w:line="360" w:lineRule="auto"/>
        <w:jc w:val="both"/>
        <w:rPr>
          <w:rFonts w:ascii="Times New Roman" w:cs="Times New Roman" w:eastAsia="Times New Roman" w:hAnsi="Times New Roman"/>
          <w:b w:val="0"/>
          <w:sz w:val="28"/>
          <w:szCs w:val="28"/>
        </w:rPr>
      </w:pPr>
      <w:bookmarkStart w:colFirst="0" w:colLast="0" w:name="_heading=h.1t3h5sf" w:id="7"/>
      <w:bookmarkEnd w:id="7"/>
      <w:r w:rsidDel="00000000" w:rsidR="00000000" w:rsidRPr="00000000">
        <w:rPr>
          <w:rFonts w:ascii="Times New Roman" w:cs="Times New Roman" w:eastAsia="Times New Roman" w:hAnsi="Times New Roman"/>
          <w:sz w:val="28"/>
          <w:szCs w:val="28"/>
          <w:rtl w:val="0"/>
        </w:rPr>
        <w:t xml:space="preserve">2.3 DIREITO PROCESSUAL CIVIL</w:t>
      </w: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Como se extrai dos fatos narrados pela consulente, a instituição financeira interpôs outro recurso, subordinado, face </w:t>
      </w:r>
      <w:r w:rsidDel="00000000" w:rsidR="00000000" w:rsidRPr="00000000">
        <w:rPr>
          <w:rFonts w:ascii="Times New Roman" w:cs="Times New Roman" w:eastAsia="Times New Roman" w:hAnsi="Times New Roman"/>
          <w:sz w:val="24"/>
          <w:szCs w:val="24"/>
          <w:highlight w:val="white"/>
          <w:rtl w:val="0"/>
        </w:rPr>
        <w:t xml:space="preserve">ao recurso interposto pela parte autora, levantando a questão da possibilidade de seu cabimento mesmo após passado o prazo recursal. </w:t>
      </w:r>
    </w:p>
    <w:p w:rsidR="00000000" w:rsidDel="00000000" w:rsidP="00000000" w:rsidRDefault="00000000" w:rsidRPr="00000000" w14:paraId="0000012A">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recurso é o instrumento processual que possibilita a impugnação de determinada decisão judicial, com a finalidade de obter o reexame da decisão, seja para solicitar sua reforma, anulação, invalidação ou esclarecimentos. É o recurso que impede o trânsito em julgado da sentença, evitando a sua preclusão temporal. Assim, como bem observa o doutrinador Misael Montenegro Filho (2019, p. 858).</w:t>
      </w:r>
    </w:p>
    <w:p w:rsidR="00000000" w:rsidDel="00000000" w:rsidP="00000000" w:rsidRDefault="00000000" w:rsidRPr="00000000" w14:paraId="0000012B">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2C">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 recurso é o instrumento processual voluntariamente utilizado pelo legitimado que sofreu prejuízo decorrente da decisão judicial, para obter a sua reforma, a sua invalidação, o seu esclarecimento ou a sua integração, contendo a solicitação de que nova decisão seja proferida, que pode ou não substituir o pronunciamento combatido.</w:t>
      </w:r>
    </w:p>
    <w:p w:rsidR="00000000" w:rsidDel="00000000" w:rsidP="00000000" w:rsidRDefault="00000000" w:rsidRPr="00000000" w14:paraId="0000012D">
      <w:pPr>
        <w:ind w:right="-4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2E">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sentido, sempre que algum pronunciamento judicial causar prejuízo a uma das partes, como as decisões interlocutórias, as sentenças e os acórdãos prolatados pelos tribunais, nasce a possibilidade de serem revistos pelo órgão jurisdicional que as prolatou, denominado </w:t>
      </w:r>
      <w:r w:rsidDel="00000000" w:rsidR="00000000" w:rsidRPr="00000000">
        <w:rPr>
          <w:rFonts w:ascii="Times New Roman" w:cs="Times New Roman" w:eastAsia="Times New Roman" w:hAnsi="Times New Roman"/>
          <w:sz w:val="24"/>
          <w:szCs w:val="24"/>
          <w:rtl w:val="0"/>
        </w:rPr>
        <w:t xml:space="preserve">juízo a quo,</w:t>
      </w:r>
      <w:r w:rsidDel="00000000" w:rsidR="00000000" w:rsidRPr="00000000">
        <w:rPr>
          <w:rFonts w:ascii="Times New Roman" w:cs="Times New Roman" w:eastAsia="Times New Roman" w:hAnsi="Times New Roman"/>
          <w:sz w:val="24"/>
          <w:szCs w:val="24"/>
          <w:highlight w:val="white"/>
          <w:rtl w:val="0"/>
        </w:rPr>
        <w:t xml:space="preserve"> ou por autoridade de hierarquia superior.</w:t>
      </w:r>
    </w:p>
    <w:p w:rsidR="00000000" w:rsidDel="00000000" w:rsidP="00000000" w:rsidRDefault="00000000" w:rsidRPr="00000000" w14:paraId="0000012F">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Pode ocorrer, no entanto, que uma das partes deixe de interpor o recurso cabível no prazo legal, e, posteriormente, ao ser intimada do recurso da outra parte, faça a sua adesão a este.  Isto é, no prazo para apresentar suas contrarrazões, a parte também pode recorrer aproveitando-se da iniciativa da outra parte através de um recurso adesivo.</w:t>
      </w:r>
    </w:p>
    <w:p w:rsidR="00000000" w:rsidDel="00000000" w:rsidP="00000000" w:rsidRDefault="00000000" w:rsidRPr="00000000" w14:paraId="00000130">
      <w:pPr>
        <w:spacing w:after="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Novo CPC traz apenas um artigo sobre essa forma de interposição de recurso, mas apresenta uma série de requisitos que devem ser cumpridos para que seja cabível dentro do processo. Nesse compasso, a norma do art. 997 do CPC declara que:</w:t>
      </w:r>
    </w:p>
    <w:p w:rsidR="00000000" w:rsidDel="00000000" w:rsidP="00000000" w:rsidRDefault="00000000" w:rsidRPr="00000000" w14:paraId="00000131">
      <w:pPr>
        <w:ind w:right="-4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2">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997. Cada parte interporá o recurso independentemente, no prazo e com observância das exigências legais.</w:t>
      </w:r>
    </w:p>
    <w:p w:rsidR="00000000" w:rsidDel="00000000" w:rsidP="00000000" w:rsidRDefault="00000000" w:rsidRPr="00000000" w14:paraId="00000133">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1º Sendo vencidos autor e réu, ao recurso interposto por qualquer deles poderá aderir o outro.</w:t>
      </w:r>
    </w:p>
    <w:p w:rsidR="00000000" w:rsidDel="00000000" w:rsidP="00000000" w:rsidRDefault="00000000" w:rsidRPr="00000000" w14:paraId="00000134">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35">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será dirigido ao órgão perante o qual o recurso independente fora interposto, no prazo de que a parte dispõe para responder;</w:t>
      </w:r>
    </w:p>
    <w:p w:rsidR="00000000" w:rsidDel="00000000" w:rsidP="00000000" w:rsidRDefault="00000000" w:rsidRPr="00000000" w14:paraId="00000136">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será admissível na apelação, no recurso extraordinário e no recurso especial;</w:t>
      </w:r>
    </w:p>
    <w:p w:rsidR="00000000" w:rsidDel="00000000" w:rsidP="00000000" w:rsidRDefault="00000000" w:rsidRPr="00000000" w14:paraId="00000137">
      <w:pPr>
        <w:ind w:left="2160" w:right="-4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III - não será conhecido, se houver desistência do recurso principal ou se for ele considerado inadmissível.</w:t>
      </w:r>
    </w:p>
    <w:p w:rsidR="00000000" w:rsidDel="00000000" w:rsidP="00000000" w:rsidRDefault="00000000" w:rsidRPr="00000000" w14:paraId="00000138">
      <w:pPr>
        <w:ind w:right="-4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9">
      <w:pPr>
        <w:spacing w:after="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jaez, o recurso adesivo caracteriza-se como uma manobra judicial que possibilita que as partes interponham recursos mesmo após o prazo legal, de forma subordinada ao recurso interposto pela outra parte em momento oportuno. O prazo para interposição do recurso adesivo é de 15 dias, mesmo prazo para apresentação de contrarrazões dos recursos de apelação, especial e extraordinário. Nesse sentido, entende o Tribunal Regional do Trabalho da 1ª Região:</w:t>
      </w:r>
    </w:p>
    <w:p w:rsidR="00000000" w:rsidDel="00000000" w:rsidP="00000000" w:rsidRDefault="00000000" w:rsidRPr="00000000" w14:paraId="0000013A">
      <w:pPr>
        <w:shd w:fill="ffffff" w:val="clear"/>
        <w:spacing w:after="24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DE INSTRUMENTO.</w:t>
      </w:r>
      <w:r w:rsidDel="00000000" w:rsidR="00000000" w:rsidRPr="00000000">
        <w:rPr>
          <w:rFonts w:ascii="Times New Roman" w:cs="Times New Roman" w:eastAsia="Times New Roman" w:hAnsi="Times New Roman"/>
          <w:b w:val="1"/>
          <w:sz w:val="20"/>
          <w:szCs w:val="20"/>
          <w:highlight w:val="white"/>
          <w:rtl w:val="0"/>
        </w:rPr>
        <w:t xml:space="preserve"> RECURSO ADESIVO.</w:t>
      </w:r>
      <w:r w:rsidDel="00000000" w:rsidR="00000000" w:rsidRPr="00000000">
        <w:rPr>
          <w:rFonts w:ascii="Times New Roman" w:cs="Times New Roman" w:eastAsia="Times New Roman" w:hAnsi="Times New Roman"/>
          <w:sz w:val="20"/>
          <w:szCs w:val="20"/>
          <w:highlight w:val="white"/>
          <w:rtl w:val="0"/>
        </w:rPr>
        <w:t xml:space="preserve"> PRAZO PARA INTERPOSIÇÃO. TEMPESTIVIDADE. </w:t>
      </w:r>
      <w:r w:rsidDel="00000000" w:rsidR="00000000" w:rsidRPr="00000000">
        <w:rPr>
          <w:rFonts w:ascii="Times New Roman" w:cs="Times New Roman" w:eastAsia="Times New Roman" w:hAnsi="Times New Roman"/>
          <w:b w:val="1"/>
          <w:sz w:val="20"/>
          <w:szCs w:val="20"/>
          <w:highlight w:val="white"/>
          <w:rtl w:val="0"/>
        </w:rPr>
        <w:t xml:space="preserve">Se a parte interpõe o apelo adesivo no prazo concedido para apresentação de contrarrazões, tem-se por tempestiva a medida manejada. </w:t>
      </w:r>
      <w:r w:rsidDel="00000000" w:rsidR="00000000" w:rsidRPr="00000000">
        <w:rPr>
          <w:rFonts w:ascii="Times New Roman" w:cs="Times New Roman" w:eastAsia="Times New Roman" w:hAnsi="Times New Roman"/>
          <w:sz w:val="20"/>
          <w:szCs w:val="20"/>
          <w:highlight w:val="white"/>
          <w:rtl w:val="0"/>
        </w:rPr>
        <w:t xml:space="preserve">Inteligência do art. 997, § 2º, I do CPC. Agravo de instrumento provido. (grifo nosso).</w:t>
      </w:r>
    </w:p>
    <w:p w:rsidR="00000000" w:rsidDel="00000000" w:rsidP="00000000" w:rsidRDefault="00000000" w:rsidRPr="00000000" w14:paraId="0000013B">
      <w:pPr>
        <w:shd w:fill="ffffff" w:val="clear"/>
        <w:spacing w:after="24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3C">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requisito principal do recurso adesivo é a sucumbência recíproca, que ocorre quando nenhum dos litigantes sai totalmente vitorioso na demanda, tornando-se reciprocamente vencedores e vencidos. Desse modo, quando publicada a decisão, embora ambos possam recorrer, um deles espera o comportamento do outro para recorrer também. Nesse sentido, entende o doutrinador Renato Montans de Sá (2021, p. 684):</w:t>
      </w:r>
    </w:p>
    <w:p w:rsidR="00000000" w:rsidDel="00000000" w:rsidP="00000000" w:rsidRDefault="00000000" w:rsidRPr="00000000" w14:paraId="0000013D">
      <w:pPr>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 recurso adesivo é, portanto, clara manifestação de economia processual. Visa evitar a interposição precipitada do recurso pelo parcialmente vencido tendo a tranquilidade que sua inércia não gerará nenhum prejuízo já que poderá impugnar a decisão em outro momento. Se a outra parte não recorrer a parte igualmente não recorre.” </w:t>
      </w:r>
    </w:p>
    <w:p w:rsidR="00000000" w:rsidDel="00000000" w:rsidP="00000000" w:rsidRDefault="00000000" w:rsidRPr="00000000" w14:paraId="0000013E">
      <w:pPr>
        <w:spacing w:after="240" w:lineRule="auto"/>
        <w:ind w:right="-4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F">
      <w:pPr>
        <w:spacing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Para que o recurso adesivo seja apreciado é necessário que o recurso principal tenha sido conhecido, mesmo que sem o seu provimento. Dessa maneira, havendo juízo positivo de admissibilidade do recurso principal, será também realizado o juízo de admissibilidade do adesivo. No entanto, se o juízo de admissibilidade do recurso independente for negativo, ou mesmo se houver desistência manifestada pela parte contrária, o recurso adesivo nem será analisado. Diante disso, depreende-se que o exame do recurso adesivo fica condicionado ao exame do recurso principal.</w:t>
      </w:r>
    </w:p>
    <w:p w:rsidR="00000000" w:rsidDel="00000000" w:rsidP="00000000" w:rsidRDefault="00000000" w:rsidRPr="00000000" w14:paraId="00000140">
      <w:pPr>
        <w:shd w:fill="ffffff" w:val="clear"/>
        <w:spacing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Por fim, quanto ao objeto do recurso, não é necessário que o recurso adesivo se limite ao objeto do recurso principal, podendo versar sobre matéria distinta.  Esse entendimento foi reafirmado pela 3ª Turma do Superior Tribunal de Justiça ao reformar acórdão do Tribunal de Justiça de São Paulo: </w:t>
      </w:r>
    </w:p>
    <w:p w:rsidR="00000000" w:rsidDel="00000000" w:rsidP="00000000" w:rsidRDefault="00000000" w:rsidRPr="00000000" w14:paraId="00000141">
      <w:pPr>
        <w:shd w:fill="ffffff" w:val="clear"/>
        <w:spacing w:after="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RECURSO ESPECIAL. PROCESSUAL CIVIL. RECURSO ADESIVO. REQUISITOS DE ADMISSIBILIDADE. 1. Controvérsia em torno da necessidade de a matéria devolvida no recurso adesivamente interposto guardar relação com a matéria discutida no recurso principal. 2. O recurso adesivo não constitui modalidade recursal diversa daquela a que adere, tendo apenas uma forma de interposição diferente daquela ordinariamente utilizada quanto ao recurso principal (recurso-tipo). 3. A irresignação é manejada fora do seu prazo normal, aproveitando o prazo para contrarrazões em relação ao recurso interposto pela parte adversa. 4. Não decorria do Código de Processo Civil de 1973 (art. 500), nem decorre do atual estatuto processual (art. 997), interpretação que corrobore estar dentro dos requisitos de admissibilidade do recurso adesivo a existência de subordinação à matéria devolvida no recurso principal. 5. Não há restrição em relação ao conteúdo da irresignação manejada na via adesiva, podendo o recorrente suscitar tudo o que arguiria acaso tivesse interposto o recurso de apelação, o recurso especial ou o recurso extraordinário na via normal. 6. A subordinação legalmente prevista é apenas formal, estando adstrita à admissibilidade do recurso principal. 7. RECURSO ESPECIAL PROVIDO.</w:t>
      </w:r>
    </w:p>
    <w:p w:rsidR="00000000" w:rsidDel="00000000" w:rsidP="00000000" w:rsidRDefault="00000000" w:rsidRPr="00000000" w14:paraId="00000142">
      <w:pPr>
        <w:shd w:fill="ffffff" w:val="clear"/>
        <w:ind w:left="216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43">
      <w:pPr>
        <w:shd w:fill="ffffff" w:val="clear"/>
        <w:spacing w:after="200" w:before="240" w:line="360" w:lineRule="auto"/>
        <w:ind w:firstLine="708"/>
        <w:jc w:val="both"/>
        <w:rPr>
          <w:rFonts w:ascii="Times New Roman" w:cs="Times New Roman" w:eastAsia="Times New Roman" w:hAnsi="Times New Roman"/>
          <w:sz w:val="24"/>
          <w:szCs w:val="24"/>
          <w:highlight w:val="white"/>
        </w:rPr>
      </w:pPr>
      <w:sdt>
        <w:sdtPr>
          <w:tag w:val="goog_rdk_13"/>
        </w:sdtPr>
        <w:sdtContent>
          <w:commentRangeStart w:id="13"/>
        </w:sdtContent>
      </w:sdt>
      <w:r w:rsidDel="00000000" w:rsidR="00000000" w:rsidRPr="00000000">
        <w:rPr>
          <w:rFonts w:ascii="Times New Roman" w:cs="Times New Roman" w:eastAsia="Times New Roman" w:hAnsi="Times New Roman"/>
          <w:sz w:val="24"/>
          <w:szCs w:val="24"/>
          <w:highlight w:val="white"/>
          <w:rtl w:val="0"/>
        </w:rPr>
        <w:t xml:space="preserve">Desse modo, depreende-se que a lei, bem como </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highlight w:val="white"/>
          <w:rtl w:val="0"/>
        </w:rPr>
        <w:t xml:space="preserve">a jurisprudência, não exigem pertinência temática com a matéria discutida no recurso principal, havendo a possibilidade de a parte suscitar outras questões não levantadas no recurso oferecido pela outra parte.</w:t>
      </w:r>
    </w:p>
    <w:p w:rsidR="00000000" w:rsidDel="00000000" w:rsidP="00000000" w:rsidRDefault="00000000" w:rsidRPr="00000000" w14:paraId="00000144">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Por conseguinte, far-se-á o estudo do quarto e último questionamento, inerente ao Direito Civil.</w:t>
      </w:r>
      <w:r w:rsidDel="00000000" w:rsidR="00000000" w:rsidRPr="00000000">
        <w:rPr>
          <w:rtl w:val="0"/>
        </w:rPr>
      </w:r>
    </w:p>
    <w:p w:rsidR="00000000" w:rsidDel="00000000" w:rsidP="00000000" w:rsidRDefault="00000000" w:rsidRPr="00000000" w14:paraId="00000145">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6">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147">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8">
      <w:pPr>
        <w:pStyle w:val="Heading2"/>
        <w:spacing w:after="240" w:before="240" w:line="360" w:lineRule="auto"/>
        <w:jc w:val="both"/>
        <w:rPr>
          <w:rFonts w:ascii="Times New Roman" w:cs="Times New Roman" w:eastAsia="Times New Roman" w:hAnsi="Times New Roman"/>
          <w:b w:val="0"/>
          <w:sz w:val="28"/>
          <w:szCs w:val="28"/>
        </w:rPr>
      </w:pPr>
      <w:bookmarkStart w:colFirst="0" w:colLast="0" w:name="_heading=h.4d34og8" w:id="8"/>
      <w:bookmarkEnd w:id="8"/>
      <w:r w:rsidDel="00000000" w:rsidR="00000000" w:rsidRPr="00000000">
        <w:rPr>
          <w:rFonts w:ascii="Times New Roman" w:cs="Times New Roman" w:eastAsia="Times New Roman" w:hAnsi="Times New Roman"/>
          <w:sz w:val="28"/>
          <w:szCs w:val="28"/>
          <w:rtl w:val="0"/>
        </w:rPr>
        <w:t xml:space="preserve">2.4 DIREITO CIVIL</w:t>
      </w:r>
      <w:r w:rsidDel="00000000" w:rsidR="00000000" w:rsidRPr="00000000">
        <w:rPr>
          <w:rtl w:val="0"/>
        </w:rPr>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spacing w:line="360" w:lineRule="auto"/>
        <w:ind w:right="-4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Aduz a consulente que, ao reler as cláusulas do contrato de serviços advocatícios, deparou-se com uma cláusula que concede a seu patrono, a título de honorários pelo serviço prestado, a quantia de 60% (sessenta por cento) do proveito econômico que a consulente obtiver com a ação. Com efeito, tem razão ao questionar a abusividade da cláusula, pois o benefício econômico que será auferido pelo advogado em caso de êxito na demanda é maior que a própria quantia que será auferida pela contratante. Nesse sentido, para efetiva análise da questão, faz-se necessário, preliminarmente, a compreensão de dois aspectos importantes: o conceito de contrato e a natureza jurídica da relação existente entre as partes.</w:t>
      </w:r>
    </w:p>
    <w:p w:rsidR="00000000" w:rsidDel="00000000" w:rsidP="00000000" w:rsidRDefault="00000000" w:rsidRPr="00000000" w14:paraId="0000014C">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contrato caracteriza-se como negócio jurídico que, para sua formação, necessita do acordo de vontade de pelo menos duas partes. Nessa linha, trata-se de negócio jurídico bilateral ou plurilateral, que visa a criação, modificação ou extinção de uma relação jurídica de cunho patrimonial. Assim, como bem observa o doutrinador Carlos Roberto Gonçalves (2022, p. 24) “Sempre, pois, que o negócio jurídico resultar de um mútuo consenso, de um encontro de duas vontades, estaremos diante de um contrato”. </w:t>
      </w:r>
    </w:p>
    <w:p w:rsidR="00000000" w:rsidDel="00000000" w:rsidP="00000000" w:rsidRDefault="00000000" w:rsidRPr="00000000" w14:paraId="0000014D">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perspectiva, observa-se que a relação jurídica firmada entre o advogado e a consulente é de natureza contratual, questão também já pontuada pelo STJ, que foi firme ao declarar a inaplicabilidade do Código de Defesa do Consumidor na prestação de serviços advocatícios:</w:t>
      </w:r>
    </w:p>
    <w:p w:rsidR="00000000" w:rsidDel="00000000" w:rsidP="00000000" w:rsidRDefault="00000000" w:rsidRPr="00000000" w14:paraId="0000014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0"/>
          <w:szCs w:val="20"/>
          <w:rtl w:val="0"/>
        </w:rPr>
        <w:t xml:space="preserve">AGRAVO INTERNO NO AGRAVO EM RECURSO ESPECIAL. PRESTAÇÃO DE SERVIÇOS ADVOCATÍCIOS. NÃO INCIDÊNCIA DO CDC. PRECEDENTES. DEFICIÊNCIA NA PRESTAÇÃO DE SERVIÇOS. SÚMULAS 5 E 7 DO STJ. HONORÁRIOS. REDUÇÃO. MATÉRIA QUE DEMANDA REEXAME DE PROVAS. SÚMULA 7 DO STJ. DISSÍDIO NÃO CONFIGURADO. AGRAVO INTERNO NÃO PROVIDO. 1. A jurisprudência do STJ é uníssona no sentido de que o Código de Defesa do Consumidor - CDC não é aplicável às relações contratuais entre clientes e advogados, as quais são regidas pelo Estatuto da Ordem dos Advogados do Brasil - OAB, aprovado pela Lei n. 8.906/94. Precedentes. 2. A reforma do julgado estadual no tocante ao alegado descumprimento do contrato de prestação de serviços pela parte recorrida, demandaria o reexame de todo o âmbito da relação contratual estabelecida e incontornável incursão no conjunto fático-probatório dos autos, o que esbarra nas Súmulas n. 5 e 7 do STJ. 3. Em sede de recurso especial, não é possível rever os critérios e o percentual adotado pelo julgador na fixação dos honorários advocatícios, por importar o reexame de matéria fático-probatória. A incidência da Súmula 7/STJ somente pode ser afastada quando o valor fixado for exorbitante ou irrisório, o que não ocorre no caso dos autos. 4. A demonstração da divergência não se satisfaz com a simples transcrição de ementas, mas com o confronto entre trechos do acórdão recorrido e das decisões apontadas como divergentes, mencionando-se as circunstâncias que identifiquem ou assemelhem os casos confrontados. 5. Agravo interno não provido.</w:t>
      </w:r>
    </w:p>
    <w:p w:rsidR="00000000" w:rsidDel="00000000" w:rsidP="00000000" w:rsidRDefault="00000000" w:rsidRPr="00000000" w14:paraId="0000014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jaez, o contrato de prestação de serviços advocatícios, como relação jurídica de natureza contratual, é regido principalmente pelo Código Civil, assim como pelo Estatuto da Advocacia e da OAB (Lei n. 8.906/1994), motivo pelo qual devemos analisar a questão levantada pela consulente à luz dos dispositivos mencionados.</w:t>
      </w:r>
    </w:p>
    <w:p w:rsidR="00000000" w:rsidDel="00000000" w:rsidP="00000000" w:rsidRDefault="00000000" w:rsidRPr="00000000" w14:paraId="00000151">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o contrato um negócio jurídico, deve atender a alguns requisitos que determinam a sua validade, e que estão elencados no artigo 104, do Código Civil, quais são: agente capaz, objeto lícito, possível, determinado ou determinável, e forma prescrita ou não defesa em lei. Ademais, sua validade também está condicionada à observância dos princípios contratuais, que são as normas gerais que norteiam a existência, a validade e o cumprimento dos contratos, garantindo a segurança jurídica da relação.</w:t>
      </w:r>
    </w:p>
    <w:p w:rsidR="00000000" w:rsidDel="00000000" w:rsidP="00000000" w:rsidRDefault="00000000" w:rsidRPr="00000000" w14:paraId="00000152">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princípio da autonomia da vontade, um dos princípios norteadores do direito contratual, garante às partes a ampla liberdade para contratarem e disporem sobre as regras do contrato. Segundo Carlos Alberto da Mota Pinto (2005, p. 81), representa o “poder reconhecido aos particulares de auto-regulamentação dos seus interesses, de autogoverno da sua esfera jurídica”. Ou seja, os contratantes têm liberdade para celebrar contratos, se assim desejarem, com quem quiserem, e disciplinar as regras do negócio jurídico mediante o acordo de vontades. A liberdade contratual está expressa no art. 421 do atual Código Civil, que dispõe:</w:t>
      </w:r>
    </w:p>
    <w:p w:rsidR="00000000" w:rsidDel="00000000" w:rsidP="00000000" w:rsidRDefault="00000000" w:rsidRPr="00000000" w14:paraId="00000153">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liberdade contratual será exercida em razão e nos limites da função social do contrato.</w:t>
      </w:r>
    </w:p>
    <w:p w:rsidR="00000000" w:rsidDel="00000000" w:rsidP="00000000" w:rsidRDefault="00000000" w:rsidRPr="00000000" w14:paraId="00000154">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Nas relações contratuais privadas, prevalecerão o princípio da intervenção mínima e a excepcionalidade da revisão contratual”.</w:t>
      </w:r>
    </w:p>
    <w:p w:rsidR="00000000" w:rsidDel="00000000" w:rsidP="00000000" w:rsidRDefault="00000000" w:rsidRPr="00000000" w14:paraId="00000155">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citada lei gerou o art. 421-A do Código Civil, que preceitua:</w:t>
      </w:r>
    </w:p>
    <w:p w:rsidR="00000000" w:rsidDel="00000000" w:rsidP="00000000" w:rsidRDefault="00000000" w:rsidRPr="00000000" w14:paraId="00000156">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“Os contratos civis e empresariais presumem-se paritários e simétricos até a presença de elementos concretos que justifiquem o afastamento dessa presunção, ressalvados os regimes jurídicos previstos em leis especiais, garantido também que:</w:t>
      </w:r>
    </w:p>
    <w:p w:rsidR="00000000" w:rsidDel="00000000" w:rsidP="00000000" w:rsidRDefault="00000000" w:rsidRPr="00000000" w14:paraId="00000157">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as partes negociantes poderão estabelecer parâmetros objetivos para a interpretação das cláusulas negociais e de seus pressupostos de revisão ou de resolução;</w:t>
      </w:r>
    </w:p>
    <w:p w:rsidR="00000000" w:rsidDel="00000000" w:rsidP="00000000" w:rsidRDefault="00000000" w:rsidRPr="00000000" w14:paraId="00000158">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a alocação de riscos definida pelas partes deve ser respeitada e observada; e</w:t>
      </w:r>
    </w:p>
    <w:p w:rsidR="00000000" w:rsidDel="00000000" w:rsidP="00000000" w:rsidRDefault="00000000" w:rsidRPr="00000000" w14:paraId="00000159">
      <w:pPr>
        <w:spacing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a revisão contratual somente ocorrerá de maneira excepcional e limitada”.</w:t>
      </w:r>
    </w:p>
    <w:p w:rsidR="00000000" w:rsidDel="00000000" w:rsidP="00000000" w:rsidRDefault="00000000" w:rsidRPr="00000000" w14:paraId="0000015A">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Determina ainda o art. 425, que “É lícito às partes estipular contratos atípicos, observadas as normas gerais fixadas neste Código”.</w:t>
      </w:r>
    </w:p>
    <w:p w:rsidR="00000000" w:rsidDel="00000000" w:rsidP="00000000" w:rsidRDefault="00000000" w:rsidRPr="00000000" w14:paraId="0000015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se depreende das normas dos artigos supracitados, os contratantes detêm a faculdade de contratar ou não contratar, a liberdade de escolha do outro contraente e o poder de estabelecer o conteúdo do contrato. Da leitura do último artigo, observa-se a licitude da celebração de contratos atípicos, ponto importante para o deslinde da questão. </w:t>
      </w:r>
    </w:p>
    <w:p w:rsidR="00000000" w:rsidDel="00000000" w:rsidP="00000000" w:rsidRDefault="00000000" w:rsidRPr="00000000" w14:paraId="0000015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Carlos Roberto Gonçalves (2022, p. 46), contrato atípico é aquele que “resulta de um acordo de vontades não regulado no ordenamento jurídico, mas gerado pelas necessidades e interesses das partes. É válido, desde que estas sejam capazes e o objeto lícito, possível, determinado ou determinável e suscetível de apreciação econômica. ”. Ao contrário do contrato típico, cujas regras estão definidas em lei, o contrato atípico requer diversas cláusulas especificando todos os direitos e obrigações que o compõem. É o que ocorre com o contrato de prestação de serviços advocatícios, uma vez que o artigo 48 do Código de Ética e Disciplina da OAB apenas sugere que seja instrumentalizado por escrito: "A prestação de serviços profissionais por advogado, individualmente ou integrado em sociedades, será contratada, preferentemente, por escrito."</w:t>
      </w:r>
    </w:p>
    <w:p w:rsidR="00000000" w:rsidDel="00000000" w:rsidP="00000000" w:rsidRDefault="00000000" w:rsidRPr="00000000" w14:paraId="0000015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citada lei reconhece que os contratos firmados entre advogados e clientes não necessitam de uma forma especial, porém sugere sua instrumentalização por escrito, a fim de estabelecer a descrição precisa do serviço que será prestado, tais como prazos, valores, formas e limites.</w:t>
      </w:r>
    </w:p>
    <w:p w:rsidR="00000000" w:rsidDel="00000000" w:rsidP="00000000" w:rsidRDefault="00000000" w:rsidRPr="00000000" w14:paraId="0000015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compasso, é através do princípio da autonomia da vontade que a ordem jurídica concede aos contratantes a liberdade de contratar e definir os termos e objeto do contrato, que, quando válido e eficaz, vincula os contraentes e obriga o seu cumprimento como se fosse lei. Essa força obrigatória que surge com o aperfeiçoamento do contrato consiste em outro princípio do direito contratual, “pacta sunt servanda”, termo em latim que significa “os pactos devem ser cumpridos''.</w:t>
      </w:r>
    </w:p>
    <w:p w:rsidR="00000000" w:rsidDel="00000000" w:rsidP="00000000" w:rsidRDefault="00000000" w:rsidRPr="00000000" w14:paraId="0000015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ainda que reconhecida a liberdade contratual das partes, seu exercício está condicionado à função social do contrato e implica valores de boa-fé e probidade, outros dois princípios de suma importância para o direito contratual. Segundo a doutrinadora Maria Helena Diniz (2022, p. 23), na celebração dos contratos,</w:t>
      </w:r>
    </w:p>
    <w:p w:rsidR="00000000" w:rsidDel="00000000" w:rsidP="00000000" w:rsidRDefault="00000000" w:rsidRPr="00000000" w14:paraId="0000016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as partes deverão agir com lealdade, honestidade, honradez, probidade (integridade de caráter), denodo e confiança recíprocas, isto é, proceder com boa-fé, esclarecendo os fatos e o conteúdo das cláusulas, procurando o equilíbrio nas prestações, respeitando o outro contratante, não traindo a confiança depositada, procurando cooperar, evitando o enriquecimento indevido, não divulgando informações sigilosas etc.</w:t>
      </w:r>
    </w:p>
    <w:p w:rsidR="00000000" w:rsidDel="00000000" w:rsidP="00000000" w:rsidRDefault="00000000" w:rsidRPr="00000000" w14:paraId="00000161">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princípio da boa-fé caracteriza-se como uma norma que requer o comportamento leal e honesto dos contratantes, vedando quaisquer condutas abusivas, a fim de promover na relação obrigacional a segurança e o equilíbrio das prestações e da distribuição dos riscos e encargos, através da proibição do enriquecimento sem causa. Trata-se da boa-fé objetiva. Nesse jaez, o Código Civil, no art. 422, preceitua que “os contratantes são obrigados a guardar, assim na conclusão do contrato, como em sua execução, os princípios de probidade e boa-fé”.</w:t>
      </w:r>
    </w:p>
    <w:p w:rsidR="00000000" w:rsidDel="00000000" w:rsidP="00000000" w:rsidRDefault="00000000" w:rsidRPr="00000000" w14:paraId="00000163">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Nos contratos de prestação de serviços advocatícios, o Estatuto de Ética da Ordem, em seu artigo 36, dispõe que os honorários devem ser fixados com moderação:</w:t>
      </w:r>
    </w:p>
    <w:p w:rsidR="00000000" w:rsidDel="00000000" w:rsidP="00000000" w:rsidRDefault="00000000" w:rsidRPr="00000000" w14:paraId="00000164">
      <w:pPr>
        <w:spacing w:line="360" w:lineRule="auto"/>
        <w:ind w:right="-4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36. Os honorários profissionais devem ser fixados com moderação, atendidos os elementos seguintes: </w:t>
      </w:r>
    </w:p>
    <w:p w:rsidR="00000000" w:rsidDel="00000000" w:rsidP="00000000" w:rsidRDefault="00000000" w:rsidRPr="00000000" w14:paraId="00000166">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a relevância, o vulto, a complexidade e a dificuldade das questões versadas; </w:t>
      </w:r>
    </w:p>
    <w:p w:rsidR="00000000" w:rsidDel="00000000" w:rsidP="00000000" w:rsidRDefault="00000000" w:rsidRPr="00000000" w14:paraId="00000167">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o trabalho e o tempo necessários; </w:t>
      </w:r>
    </w:p>
    <w:p w:rsidR="00000000" w:rsidDel="00000000" w:rsidP="00000000" w:rsidRDefault="00000000" w:rsidRPr="00000000" w14:paraId="00000168">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a possibilidade de ficar o advogado impedido de intervir em outros casos, ou de se desavir com outros clientes ou terceiros; </w:t>
      </w:r>
    </w:p>
    <w:p w:rsidR="00000000" w:rsidDel="00000000" w:rsidP="00000000" w:rsidRDefault="00000000" w:rsidRPr="00000000" w14:paraId="00000169">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o valor da causa, a condição econômica do cliente e o proveito para ele resultante do serviço profissional; </w:t>
      </w:r>
    </w:p>
    <w:p w:rsidR="00000000" w:rsidDel="00000000" w:rsidP="00000000" w:rsidRDefault="00000000" w:rsidRPr="00000000" w14:paraId="0000016A">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o caráter da intervenção, conforme se trate de serviço a cliente avulso, habitual ou permanente; </w:t>
      </w:r>
    </w:p>
    <w:p w:rsidR="00000000" w:rsidDel="00000000" w:rsidP="00000000" w:rsidRDefault="00000000" w:rsidRPr="00000000" w14:paraId="0000016B">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 – o lugar da prestação dos serviços, fora ou não do domicílio do advogado; </w:t>
      </w:r>
    </w:p>
    <w:p w:rsidR="00000000" w:rsidDel="00000000" w:rsidP="00000000" w:rsidRDefault="00000000" w:rsidRPr="00000000" w14:paraId="0000016C">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a competência e o renome do profissional; </w:t>
      </w:r>
    </w:p>
    <w:p w:rsidR="00000000" w:rsidDel="00000000" w:rsidP="00000000" w:rsidRDefault="00000000" w:rsidRPr="00000000" w14:paraId="0000016D">
      <w:pPr>
        <w:spacing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VIII – a praxe do foro sobre trabalhos análogos.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E">
      <w:pPr>
        <w:spacing w:line="360" w:lineRule="auto"/>
        <w:ind w:right="-4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compasso, o artigo 38 da mesma norma ressalta ainda que, no caso de honorários condicionados ao êxito da demanda, o benefício econômico do advogado não pode ultrapassar as vantagens auferidas ao contratante:</w:t>
      </w:r>
    </w:p>
    <w:p w:rsidR="00000000" w:rsidDel="00000000" w:rsidP="00000000" w:rsidRDefault="00000000" w:rsidRPr="00000000" w14:paraId="00000170">
      <w:pPr>
        <w:spacing w:line="360" w:lineRule="auto"/>
        <w:ind w:left="2880" w:right="-4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 Parágrafo único. A participação do advogado em bens particulares de cliente, comprovadamente sem condições pecuniárias, só é tolerada em caráter excepcional, e desde que contratada por escrito. </w:t>
      </w:r>
    </w:p>
    <w:p w:rsidR="00000000" w:rsidDel="00000000" w:rsidP="00000000" w:rsidRDefault="00000000" w:rsidRPr="00000000" w14:paraId="00000172">
      <w:pPr>
        <w:spacing w:line="360" w:lineRule="auto"/>
        <w:ind w:right="-4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base no dispositivo supracitado, depreende-se que o Código de Ética e Disciplina da OAB possibilita a cobrança de honorários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na qual a exigibilidade dos honorários está condicionada ao êxito da demanda. Isto é, a remuneração do advogado depende do sucesso na demanda, pois, em caso de derrota, não receberá nada. No entanto, a sua adoção implica necessariamente que a remuneração do advogado não ultrapasse a quantia auferida pelo contratante.  </w:t>
      </w:r>
    </w:p>
    <w:p w:rsidR="00000000" w:rsidDel="00000000" w:rsidP="00000000" w:rsidRDefault="00000000" w:rsidRPr="00000000" w14:paraId="00000174">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compasso, quando a remuneração quotalícia não é fixada em patamar razoável, caracterizando-se excessiva, como no presente caso, é possível a sua limitação. Conforme entendimento do E.TJ/RS:</w:t>
      </w:r>
    </w:p>
    <w:p w:rsidR="00000000" w:rsidDel="00000000" w:rsidP="00000000" w:rsidRDefault="00000000" w:rsidRPr="00000000" w14:paraId="00000175">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CÍVEL. EMBARGOS À EXECUÇÃO. AÇÃO EXECUTIVA. COBRANÇA DE HONORÁRIOS CONTRATUAIS. Contrato de prestação de serviços de advogado. Pacto de pagamento quota litis. Reconhecida a incidência do artigo 157, parágrafo 2º., do Código Civil. Lesão a contratante inexperiente que se obrigou a prestação manifestamente desproporcional ao valor da prestação. Cobrança do equivalente a 50% do valor do êxito. Pensionamento do INSS. Crédito de natureza alimentar. Artigo 100, parágrafo 1º., da Constituição Federal. Revisão de cláusula. Redução do valor devido. Redimensionamento da sucumbência. APELAÇÃO PROVIDA. ( Apelação Cível Nº 70047946520, Décima Sexta Câmara Cível, Tribunal de Justiça do RS, Relator: Ana Maria Nedel Scalzilli, Julgado em 30/07/2015).</w:t>
      </w:r>
    </w:p>
    <w:p w:rsidR="00000000" w:rsidDel="00000000" w:rsidP="00000000" w:rsidRDefault="00000000" w:rsidRPr="00000000" w14:paraId="00000176">
      <w:pPr>
        <w:spacing w:line="360" w:lineRule="auto"/>
        <w:ind w:left="2160" w:right="-466"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7">
      <w:pPr>
        <w:spacing w:line="360" w:lineRule="auto"/>
        <w:ind w:firstLine="708"/>
        <w:jc w:val="both"/>
        <w:rPr>
          <w:rFonts w:ascii="Times New Roman" w:cs="Times New Roman" w:eastAsia="Times New Roman" w:hAnsi="Times New Roman"/>
          <w:sz w:val="24"/>
          <w:szCs w:val="24"/>
        </w:rPr>
      </w:pPr>
      <w:bookmarkStart w:colFirst="0" w:colLast="0" w:name="_heading=h.2s8eyo1" w:id="9"/>
      <w:bookmarkEnd w:id="9"/>
      <w:r w:rsidDel="00000000" w:rsidR="00000000" w:rsidRPr="00000000">
        <w:rPr>
          <w:rFonts w:ascii="Times New Roman" w:cs="Times New Roman" w:eastAsia="Times New Roman" w:hAnsi="Times New Roman"/>
          <w:sz w:val="24"/>
          <w:szCs w:val="24"/>
          <w:rtl w:val="0"/>
        </w:rPr>
        <w:t xml:space="preserve">Em reforço ao entendimento aqui esgrimido, não é demasiado mencionar o julgado da 6ª turma do TRF da 4ª região, que negou provimento ao recurso de advogado contra decisão monocrática que limitou o valor dos honorários contratuais em 30% (trinta por cento), após apreciação do contrato à luz dos princípios da boa-fé objetiva, da boa-fé contratual e da vedação ao enriquecimento sem causa de um dos contratantes em prejuízo do outro:</w:t>
      </w:r>
    </w:p>
    <w:p w:rsidR="00000000" w:rsidDel="00000000" w:rsidP="00000000" w:rsidRDefault="00000000" w:rsidRPr="00000000" w14:paraId="00000178">
      <w:pPr>
        <w:shd w:fill="ffffff" w:val="clear"/>
        <w:spacing w:after="24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AGRAVO DE INSTRUMENTO. EXECUÇÃO DE SENTENÇA. PREVIDENCIÁRIO E PROCESSUAL CIVIL. HONORÁRIOS ADVOCATÍCIOS CONTRATUAIS. DESTAQUE. POSSIBILIDADE. LIMITAÇÃO DO PERCENTUAL DESTACADO. MEDIDA ADMITIDA DE FORMA EXCEPCIONAL. 1. Dispõe o § 4º do art. 22 da Lei nº 8.906/94 que "Se o advogado fizer juntar aos autos o seu contrato de honorários antes de expedir-se o mandado de levantamento ou precatório, o juiz deve determinar que lhe sejam pagos diretamente, por dedução da quantia a ser recebida pelo constituinte, salvo se este provar que já os pagou.". 2. É dizer, independentemente do ajuizamento de nova demanda, tem o causídico o direito de descontar do valor inscrito em RPV ou precatório, conforme o caso, a parcela relativa aos honorários contratados com seu constituinte, desde que ainda não tenham sido pagos. Precedentes do STJ. 3. A respeito da possibilidade de limitação do destaque dos honorários contratuais, a regra geral é a não intervenção do Poder Judiciário no percentual dos honorários contratuais pactuados entre o segurado e seu patrono. 4. Não se afasta, contudo, de forma definitiva a possibilidade de que as cláusulas contratuais relacionadas ao percentual da remuneração devida pelo segurado ao seu patrono sejam revistas pelo Poder Judiciário. 5. Há que se fazer, necessariamente, uma apreciação do contrato à luz dos princípios da boa-fé objetiva, da boa-fé contratual e da vedação ao enriquecimento sem causa de um dos contratantes em prejuízo do outro, tendo como referência as próprias disposições do Estatuto de Ética e Disciplina da ordem dos Advogados do Brasil. 6. Resumindo, tem-se a respeito do tema o seguinte panorama: a regra geral é a não intervenção do Poder Judiciário no contrato de honorários advocatícios. Contudo, tenho que se deve admitir a limitação do destaque da verba honorária contratual, até mesmo de ofício pelo juízo da execução, naquelas situações em que se mostrar imoderado o montante contratado, tendo como parâmetro máximo para tal verificação a impossibilidade de que da demanda resulte vantagem econômica superior, ou mesmo muito próxima, em favor do advogado em relação àquela auferida pelo próprio cliente.</w:t>
      </w:r>
    </w:p>
    <w:p w:rsidR="00000000" w:rsidDel="00000000" w:rsidP="00000000" w:rsidRDefault="00000000" w:rsidRPr="00000000" w14:paraId="00000179">
      <w:pPr>
        <w:shd w:fill="ffffff" w:val="clear"/>
        <w:spacing w:after="240" w:line="24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A">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finalizar, destaca-se o julgado da Terceira Turma do Superior Tribunal de Justiça que entendeu ser exorbitante a cobrança de honorários do advogado em 50% (cinquenta por cento) sobre o proveito econômico do contratante, reformando-a para 30% (trinta por cento):</w:t>
      </w:r>
    </w:p>
    <w:p w:rsidR="00000000" w:rsidDel="00000000" w:rsidP="00000000" w:rsidRDefault="00000000" w:rsidRPr="00000000" w14:paraId="0000017B">
      <w:pPr>
        <w:shd w:fill="ffffff" w:val="clear"/>
        <w:spacing w:after="24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CONTRATO DE HONORÁRIOS QUOTA LITIS. REMUNERAÇÃO AD EXITUM FIXADA EM 50% SOBRE O BENEFÍCIO ECONÔMICO. LESÃO. 1. A abertura da instância especial alegada não enseja ofensa a Circulares, Resoluções, Portarias, Súmulas ou dispositivos inseridos em Regimentos Internos, por não se enquadrarem no conceito de lei federal previsto no art. 105, III, a, da Constituição Federal. Assim, não se pode apreciar recurso especial fundamentado na violação do Código de Ética e Disciplina da OAB. 2. O CDC não se aplica à regulação de contratos de serviços advocatícios. Precedentes. 3. Consubstancia lesão a desproporção existente entre as prestações de um contrato no momento da realização do negócio, havendo para uma das partes um aproveitamento indevido decorrente da situação de inferioridade da outra parte. 4. O instituto da lesão é passível de reconhecimento também em contratos aleatórios, na hipótese em que, ao se valorarem os riscos, estes forem inexpressivos para uma das partes, em contraposição àqueles suportados pela outra, havendo exploração da situação de inferioridade de um contratante. 5. Ocorre lesão na hipótese em que um advogado, valendo-se de situação de desespero da parte, firma contrato quota litis no qual fixa sua remuneração ad exitum em 50% do benefício econômico gerado pela causa. 6. Recurso especial conhecido e provido, revisando-se a cláusula contratual que fixou os honorários advocatícios para o fim de reduzi-los ao patamar de 30% da condenação obtida.</w:t>
      </w:r>
    </w:p>
    <w:p w:rsidR="00000000" w:rsidDel="00000000" w:rsidP="00000000" w:rsidRDefault="00000000" w:rsidRPr="00000000" w14:paraId="0000017C">
      <w:pPr>
        <w:shd w:fill="ffffff" w:val="clear"/>
        <w:spacing w:after="240" w:line="24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spacing w:line="360" w:lineRule="auto"/>
        <w:ind w:firstLine="708"/>
        <w:jc w:val="both"/>
        <w:rPr>
          <w:rFonts w:ascii="Times New Roman" w:cs="Times New Roman" w:eastAsia="Times New Roman" w:hAnsi="Times New Roman"/>
          <w:sz w:val="24"/>
          <w:szCs w:val="24"/>
        </w:rPr>
      </w:pP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Diante do exposto, depreende-se que não parece razoável seja a consulente obrigada a pagar a seu advogado valor superior ao que percebeu, tendo em vista a inobservância da conduta do advogado ao princípio da boa-fé objetiva, exigido pelo art. 422 do CC/2002. Entende-se que o advogado não agiu com boa-fé ao impor, no contrato firmado com cláusula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acordo de prestação de serviços advocatícios no qual fixa sua remuneração ad exitum em 60% (sessenta por cento) do benefício econômico auferido. Evidente se mostra a ausência de razoabilidade da cobrança formulada pelo causídico, porquanto em desacordo com o estabelecido pelo Código Civil, pelo Estatuto da Advocacia e da OAB (Lei n. 8.906/1994), bem como pela jurisprudência.</w:t>
      </w:r>
      <w:commentRangeEnd w:id="14"/>
      <w:r w:rsidDel="00000000" w:rsidR="00000000" w:rsidRPr="00000000">
        <w:commentReference w:id="14"/>
      </w:r>
      <w:r w:rsidDel="00000000" w:rsidR="00000000" w:rsidRPr="00000000">
        <w:rPr>
          <w:rtl w:val="0"/>
        </w:rPr>
      </w:r>
    </w:p>
    <w:p w:rsidR="00000000" w:rsidDel="00000000" w:rsidP="00000000" w:rsidRDefault="00000000" w:rsidRPr="00000000" w14:paraId="0000017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0">
      <w:pPr>
        <w:pStyle w:val="Heading1"/>
        <w:spacing w:after="0" w:before="0" w:line="360" w:lineRule="auto"/>
        <w:jc w:val="both"/>
        <w:rPr>
          <w:rFonts w:ascii="Times New Roman" w:cs="Times New Roman" w:eastAsia="Times New Roman" w:hAnsi="Times New Roman"/>
          <w:b w:val="0"/>
          <w:sz w:val="28"/>
          <w:szCs w:val="28"/>
        </w:rPr>
      </w:pPr>
      <w:bookmarkStart w:colFirst="0" w:colLast="0" w:name="_heading=h.17dp8vu" w:id="10"/>
      <w:bookmarkEnd w:id="10"/>
      <w:r w:rsidDel="00000000" w:rsidR="00000000" w:rsidRPr="00000000">
        <w:rPr>
          <w:rFonts w:ascii="Times New Roman" w:cs="Times New Roman" w:eastAsia="Times New Roman" w:hAnsi="Times New Roman"/>
          <w:sz w:val="28"/>
          <w:szCs w:val="28"/>
          <w:rtl w:val="0"/>
        </w:rPr>
        <w:t xml:space="preserve">3 CONCLUSÕES </w:t>
      </w:r>
      <w:r w:rsidDel="00000000" w:rsidR="00000000" w:rsidRPr="00000000">
        <w:rPr>
          <w:rtl w:val="0"/>
        </w:rPr>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rPr/>
      </w:pPr>
      <w:r w:rsidDel="00000000" w:rsidR="00000000" w:rsidRPr="00000000">
        <w:rPr>
          <w:rtl w:val="0"/>
        </w:rPr>
      </w:r>
    </w:p>
    <w:p w:rsidR="00000000" w:rsidDel="00000000" w:rsidP="00000000" w:rsidRDefault="00000000" w:rsidRPr="00000000" w14:paraId="0000018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os questionamentos trazidos à tona pela consulente e conforme o que acima foi exposto, tem-se que com base na doutrina e seguindo o entendimento uníssono jurisprudencial o inquérito policial é um procedimento administrativo de caráter informativo e em regra, padece de contraditório e ampla defesa, garantidos na fase processual, com caráter probatório. Deste modo, o fato de Sérgio “Lorota” ter sido interrogado pela autoridade policial sem a presença de defensor técnico, não acarretará à nulidade da investigação, tampouco o processo como um todo. </w:t>
      </w:r>
    </w:p>
    <w:p w:rsidR="00000000" w:rsidDel="00000000" w:rsidP="00000000" w:rsidRDefault="00000000" w:rsidRPr="00000000" w14:paraId="00000184">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Com relação ao cumprimento de pena, caso condenado, ficou evidente que o Sr. Sérgio Lorota, em regra, não cumprirá integralmente sua pena em presídio, haja vista seu direito de passar gradativamente de um regime mais gravoso para outro de menor gravidade. Entretanto, a depender do comportamento do condenado, ele poderá não preencher os requisitos necessários para a progressão ou até mesmo regredir para regime mais gravoso, conforme determina a Lei de Execução Penal. </w:t>
      </w:r>
    </w:p>
    <w:p w:rsidR="00000000" w:rsidDel="00000000" w:rsidP="00000000" w:rsidRDefault="00000000" w:rsidRPr="00000000" w14:paraId="0000018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ao recurso interposto pela financeira, será cabível se preenchidos os requisitos elencados nos parágrafos do artigo 997, do Código de Processo Civil, quais sejam: </w:t>
      </w:r>
      <w:r w:rsidDel="00000000" w:rsidR="00000000" w:rsidRPr="00000000">
        <w:rPr>
          <w:rFonts w:ascii="Times New Roman" w:cs="Times New Roman" w:eastAsia="Times New Roman" w:hAnsi="Times New Roman"/>
          <w:sz w:val="24"/>
          <w:szCs w:val="24"/>
          <w:highlight w:val="white"/>
          <w:rtl w:val="0"/>
        </w:rPr>
        <w:t xml:space="preserve">a sucumbência recíproca, a limitação nos tipos de recurso aplicáveis, o cumprimento da admissibilidade e tempestividade e a admissibilidade do recurso principal.</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6">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cláusula quota litis do contrato de prestação de serviços advocatícios que obrigou a consulente a prestação manifestamente desproporcional do valor da demanda poderá ser revista em juízo, através da apreciação do contrato à luz dos princípios da boa-fé objetiva, da boa-fé contratual e da vedação ao enriquecimento sem causa de um dos contratantes em prejuízo do outro, conforme os entendimentos dos tribunais, bem como as diretrizes do e o Código de Ética e Disciplina da OAB e Código Civil.</w:t>
      </w:r>
    </w:p>
    <w:p w:rsidR="00000000" w:rsidDel="00000000" w:rsidP="00000000" w:rsidRDefault="00000000" w:rsidRPr="00000000" w14:paraId="0000018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melhor juízo, é o parecer.</w:t>
      </w:r>
    </w:p>
    <w:p w:rsidR="00000000" w:rsidDel="00000000" w:rsidP="00000000" w:rsidRDefault="00000000" w:rsidRPr="00000000" w14:paraId="00000188">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9">
      <w:pPr>
        <w:spacing w:before="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Estado de São Paulo, 11 de novembro de 2022.</w:t>
      </w:r>
    </w:p>
    <w:p w:rsidR="00000000" w:rsidDel="00000000" w:rsidP="00000000" w:rsidRDefault="00000000" w:rsidRPr="00000000" w14:paraId="0000018A">
      <w:pPr>
        <w:spacing w:before="200" w:line="360" w:lineRule="auto"/>
        <w:ind w:firstLine="708"/>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tabs>
          <w:tab w:val="center" w:pos="6519"/>
          <w:tab w:val="center" w:pos="2267"/>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_______________________________</w:t>
        <w:tab/>
        <w:t xml:space="preserve">_______________________________</w:t>
      </w:r>
    </w:p>
    <w:p w:rsidR="00000000" w:rsidDel="00000000" w:rsidP="00000000" w:rsidRDefault="00000000" w:rsidRPr="00000000" w14:paraId="0000018C">
      <w:pPr>
        <w:tabs>
          <w:tab w:val="center" w:pos="6519"/>
          <w:tab w:val="center" w:pos="226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Júlia Dutra Tessaro</w:t>
        <w:tab/>
        <w:t xml:space="preserve">Daniel Cruz Strazza </w:t>
      </w:r>
    </w:p>
    <w:p w:rsidR="00000000" w:rsidDel="00000000" w:rsidP="00000000" w:rsidRDefault="00000000" w:rsidRPr="00000000" w14:paraId="0000018D">
      <w:pPr>
        <w:tabs>
          <w:tab w:val="center" w:pos="6525"/>
          <w:tab w:val="center" w:pos="226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 20000109</w:t>
        <w:tab/>
        <w:t xml:space="preserve">RA – 2000403</w:t>
      </w:r>
    </w:p>
    <w:p w:rsidR="00000000" w:rsidDel="00000000" w:rsidP="00000000" w:rsidRDefault="00000000" w:rsidRPr="00000000" w14:paraId="0000018E">
      <w:pPr>
        <w:tabs>
          <w:tab w:val="center" w:pos="6525"/>
          <w:tab w:val="center" w:pos="2265"/>
        </w:tabs>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F">
      <w:pPr>
        <w:tabs>
          <w:tab w:val="center" w:pos="6519"/>
          <w:tab w:val="center" w:pos="2267"/>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_______________________________</w:t>
      </w:r>
    </w:p>
    <w:p w:rsidR="00000000" w:rsidDel="00000000" w:rsidP="00000000" w:rsidRDefault="00000000" w:rsidRPr="00000000" w14:paraId="00000190">
      <w:pPr>
        <w:tabs>
          <w:tab w:val="center" w:pos="6519"/>
          <w:tab w:val="center" w:pos="2267"/>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Larissa Fatima Dutra</w:t>
      </w:r>
    </w:p>
    <w:p w:rsidR="00000000" w:rsidDel="00000000" w:rsidP="00000000" w:rsidRDefault="00000000" w:rsidRPr="00000000" w14:paraId="00000191">
      <w:pPr>
        <w:tabs>
          <w:tab w:val="center" w:pos="6519"/>
          <w:tab w:val="center" w:pos="2267"/>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 20000408</w:t>
      </w:r>
    </w:p>
    <w:p w:rsidR="00000000" w:rsidDel="00000000" w:rsidP="00000000" w:rsidRDefault="00000000" w:rsidRPr="00000000" w14:paraId="00000192">
      <w:pPr>
        <w:tabs>
          <w:tab w:val="center" w:pos="6519"/>
          <w:tab w:val="center" w:pos="2267"/>
        </w:tabs>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93">
      <w:pPr>
        <w:pStyle w:val="Heading1"/>
        <w:spacing w:after="0" w:before="0" w:line="360" w:lineRule="auto"/>
        <w:jc w:val="both"/>
        <w:rPr>
          <w:rFonts w:ascii="Times New Roman" w:cs="Times New Roman" w:eastAsia="Times New Roman" w:hAnsi="Times New Roman"/>
          <w:sz w:val="28"/>
          <w:szCs w:val="28"/>
        </w:rPr>
      </w:pPr>
      <w:bookmarkStart w:colFirst="0" w:colLast="0" w:name="_heading=h.3rdcrjn" w:id="11"/>
      <w:bookmarkEnd w:id="11"/>
      <w:r w:rsidDel="00000000" w:rsidR="00000000" w:rsidRPr="00000000">
        <w:rPr>
          <w:rtl w:val="0"/>
        </w:rPr>
      </w:r>
    </w:p>
    <w:p w:rsidR="00000000" w:rsidDel="00000000" w:rsidP="00000000" w:rsidRDefault="00000000" w:rsidRPr="00000000" w14:paraId="00000194">
      <w:pPr>
        <w:pStyle w:val="Heading1"/>
        <w:spacing w:after="0" w:before="0" w:line="360" w:lineRule="auto"/>
        <w:jc w:val="both"/>
        <w:rPr>
          <w:rFonts w:ascii="Times New Roman" w:cs="Times New Roman" w:eastAsia="Times New Roman" w:hAnsi="Times New Roman"/>
          <w:b w:val="0"/>
          <w:sz w:val="28"/>
          <w:szCs w:val="28"/>
        </w:rPr>
      </w:pPr>
      <w:r w:rsidDel="00000000" w:rsidR="00000000" w:rsidRPr="00000000">
        <w:rPr>
          <w:rFonts w:ascii="Times New Roman" w:cs="Times New Roman" w:eastAsia="Times New Roman" w:hAnsi="Times New Roman"/>
          <w:sz w:val="28"/>
          <w:szCs w:val="28"/>
          <w:rtl w:val="0"/>
        </w:rPr>
        <w:t xml:space="preserve">REFERÊNCIAS</w:t>
      </w:r>
      <w:r w:rsidDel="00000000" w:rsidR="00000000" w:rsidRPr="00000000">
        <w:rPr>
          <w:rtl w:val="0"/>
        </w:rPr>
      </w:r>
    </w:p>
    <w:p w:rsidR="00000000" w:rsidDel="00000000" w:rsidP="00000000" w:rsidRDefault="00000000" w:rsidRPr="00000000" w14:paraId="00000195">
      <w:pPr>
        <w:spacing w:line="360" w:lineRule="auto"/>
        <w:ind w:right="-466"/>
        <w:jc w:val="both"/>
        <w:rPr>
          <w:rFonts w:ascii="Times New Roman" w:cs="Times New Roman" w:eastAsia="Times New Roman" w:hAnsi="Times New Roman"/>
          <w:color w:val="ff0000"/>
          <w:sz w:val="24"/>
          <w:szCs w:val="24"/>
        </w:rPr>
      </w:pPr>
      <w:r w:rsidDel="00000000" w:rsidR="00000000" w:rsidRPr="00000000">
        <w:rPr>
          <w:rtl w:val="0"/>
        </w:rPr>
      </w:r>
    </w:p>
    <w:p w:rsidR="00000000" w:rsidDel="00000000" w:rsidP="00000000" w:rsidRDefault="00000000" w:rsidRPr="00000000" w14:paraId="0000019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AVENA, Norberto. </w:t>
      </w:r>
      <w:r w:rsidDel="00000000" w:rsidR="00000000" w:rsidRPr="00000000">
        <w:rPr>
          <w:rFonts w:ascii="Times New Roman" w:cs="Times New Roman" w:eastAsia="Times New Roman" w:hAnsi="Times New Roman"/>
          <w:b w:val="1"/>
          <w:sz w:val="24"/>
          <w:szCs w:val="24"/>
          <w:rtl w:val="0"/>
        </w:rPr>
        <w:t xml:space="preserve">Processo Penal</w:t>
      </w:r>
      <w:r w:rsidDel="00000000" w:rsidR="00000000" w:rsidRPr="00000000">
        <w:rPr>
          <w:rFonts w:ascii="Times New Roman" w:cs="Times New Roman" w:eastAsia="Times New Roman" w:hAnsi="Times New Roman"/>
          <w:sz w:val="24"/>
          <w:szCs w:val="24"/>
          <w:rtl w:val="0"/>
        </w:rPr>
        <w:t xml:space="preserve">. Disponível em: Minha Biblioteca, (13th edição). Grupo GEN, 2021. Disponível em: &lt;https://integrada.minhabiblioteca.com.br/reader/books/9788530992767/epubcfi/6/28[%3Bvnd.vst.idref%3Dchapter04]!/4&gt;. Acesso em 10 de outubro de 2022. </w:t>
      </w:r>
    </w:p>
    <w:p w:rsidR="00000000" w:rsidDel="00000000" w:rsidP="00000000" w:rsidRDefault="00000000" w:rsidRPr="00000000" w14:paraId="0000019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Constituição (1988). </w:t>
      </w:r>
      <w:r w:rsidDel="00000000" w:rsidR="00000000" w:rsidRPr="00000000">
        <w:rPr>
          <w:rFonts w:ascii="Times New Roman" w:cs="Times New Roman" w:eastAsia="Times New Roman" w:hAnsi="Times New Roman"/>
          <w:b w:val="1"/>
          <w:sz w:val="24"/>
          <w:szCs w:val="24"/>
          <w:rtl w:val="0"/>
        </w:rPr>
        <w:t xml:space="preserve">Constituição da República Federativa do Brasil</w:t>
      </w:r>
      <w:r w:rsidDel="00000000" w:rsidR="00000000" w:rsidRPr="00000000">
        <w:rPr>
          <w:rFonts w:ascii="Times New Roman" w:cs="Times New Roman" w:eastAsia="Times New Roman" w:hAnsi="Times New Roman"/>
          <w:sz w:val="24"/>
          <w:szCs w:val="24"/>
          <w:rtl w:val="0"/>
        </w:rPr>
        <w:t xml:space="preserve">. Brasília, DF: Senado Federal: Centro Gráfico, 1988. Disponível em: &lt;http://www.planalto.gov.br/ccivil_03/constituicao/constituicao.htm&gt;. Acesso em: 27 out. 2022.</w:t>
      </w:r>
    </w:p>
    <w:p w:rsidR="00000000" w:rsidDel="00000000" w:rsidP="00000000" w:rsidRDefault="00000000" w:rsidRPr="00000000" w14:paraId="0000019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Direito Penal</w:t>
      </w:r>
      <w:r w:rsidDel="00000000" w:rsidR="00000000" w:rsidRPr="00000000">
        <w:rPr>
          <w:rFonts w:ascii="Times New Roman" w:cs="Times New Roman" w:eastAsia="Times New Roman" w:hAnsi="Times New Roman"/>
          <w:sz w:val="24"/>
          <w:szCs w:val="24"/>
          <w:rtl w:val="0"/>
        </w:rPr>
        <w:t xml:space="preserve">. 18. ed. São Paulo: Saraiva, 2014</w:t>
      </w:r>
    </w:p>
    <w:p w:rsidR="00000000" w:rsidDel="00000000" w:rsidP="00000000" w:rsidRDefault="00000000" w:rsidRPr="00000000" w14:paraId="0000019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Processo Penal</w:t>
      </w:r>
      <w:r w:rsidDel="00000000" w:rsidR="00000000" w:rsidRPr="00000000">
        <w:rPr>
          <w:rFonts w:ascii="Times New Roman" w:cs="Times New Roman" w:eastAsia="Times New Roman" w:hAnsi="Times New Roman"/>
          <w:sz w:val="24"/>
          <w:szCs w:val="24"/>
          <w:rtl w:val="0"/>
        </w:rPr>
        <w:t xml:space="preserve">.29. ed. São Paulo: Saraiva, 2022</w:t>
      </w:r>
    </w:p>
    <w:p w:rsidR="00000000" w:rsidDel="00000000" w:rsidP="00000000" w:rsidRDefault="00000000" w:rsidRPr="00000000" w14:paraId="0000019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E">
      <w:pPr>
        <w:spacing w:after="0" w:line="240" w:lineRule="auto"/>
        <w:ind w:right="-4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CONSELHO FEDERAL DA ORDEM DOS ADVOGADOS DO BRASIL. </w:t>
      </w:r>
      <w:r w:rsidDel="00000000" w:rsidR="00000000" w:rsidRPr="00000000">
        <w:rPr>
          <w:rFonts w:ascii="Times New Roman" w:cs="Times New Roman" w:eastAsia="Times New Roman" w:hAnsi="Times New Roman"/>
          <w:b w:val="1"/>
          <w:sz w:val="24"/>
          <w:szCs w:val="24"/>
          <w:highlight w:val="white"/>
          <w:rtl w:val="0"/>
        </w:rPr>
        <w:t xml:space="preserve">Código de Ética e Disciplina da OAB</w:t>
      </w:r>
      <w:r w:rsidDel="00000000" w:rsidR="00000000" w:rsidRPr="00000000">
        <w:rPr>
          <w:rFonts w:ascii="Times New Roman" w:cs="Times New Roman" w:eastAsia="Times New Roman" w:hAnsi="Times New Roman"/>
          <w:sz w:val="24"/>
          <w:szCs w:val="24"/>
          <w:highlight w:val="white"/>
          <w:rtl w:val="0"/>
        </w:rPr>
        <w:t xml:space="preserve">. Brasília-DF, 1995. Disponível em &lt; http://www.oab.org.br/visualizador/19/codigo-de-etica-e-disciplina&gt;. Acesso em: 23 de out. de 2022.</w:t>
      </w:r>
      <w:r w:rsidDel="00000000" w:rsidR="00000000" w:rsidRPr="00000000">
        <w:rPr>
          <w:rtl w:val="0"/>
        </w:rPr>
      </w:r>
    </w:p>
    <w:p w:rsidR="00000000" w:rsidDel="00000000" w:rsidP="00000000" w:rsidRDefault="00000000" w:rsidRPr="00000000" w14:paraId="0000019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DECRETO Nº 9.199, DE 20 DE NOVEMBRO DE 2017. </w:t>
        <w:tab/>
        <w:t xml:space="preserve">Regulamenta a Lei nº 13.445, de 24 de maio de 2017, que institui a Lei de Migração. </w:t>
      </w:r>
      <w:r w:rsidDel="00000000" w:rsidR="00000000" w:rsidRPr="00000000">
        <w:rPr>
          <w:rFonts w:ascii="Times New Roman" w:cs="Times New Roman" w:eastAsia="Times New Roman" w:hAnsi="Times New Roman"/>
          <w:sz w:val="24"/>
          <w:szCs w:val="24"/>
          <w:rtl w:val="0"/>
        </w:rPr>
        <w:t xml:space="preserve">Disponível em: &lt;</w:t>
      </w:r>
      <w:hyperlink r:id="rId14">
        <w:r w:rsidDel="00000000" w:rsidR="00000000" w:rsidRPr="00000000">
          <w:rPr>
            <w:rFonts w:ascii="Times New Roman" w:cs="Times New Roman" w:eastAsia="Times New Roman" w:hAnsi="Times New Roman"/>
            <w:sz w:val="24"/>
            <w:szCs w:val="24"/>
            <w:rtl w:val="0"/>
          </w:rPr>
          <w:t xml:space="preserve">http://www.planalto.gov.br/ccivil_03/_ato2015-2018/2017/decreto/d9199.htm</w:t>
        </w:r>
      </w:hyperlink>
      <w:r w:rsidDel="00000000" w:rsidR="00000000" w:rsidRPr="00000000">
        <w:rPr>
          <w:rFonts w:ascii="Times New Roman" w:cs="Times New Roman" w:eastAsia="Times New Roman" w:hAnsi="Times New Roman"/>
          <w:sz w:val="24"/>
          <w:szCs w:val="24"/>
          <w:rtl w:val="0"/>
        </w:rPr>
        <w:t xml:space="preserve">&gt;. Acesso em: </w:t>
      </w:r>
      <w:r w:rsidDel="00000000" w:rsidR="00000000" w:rsidRPr="00000000">
        <w:rPr>
          <w:rFonts w:ascii="Times New Roman" w:cs="Times New Roman" w:eastAsia="Times New Roman" w:hAnsi="Times New Roman"/>
          <w:sz w:val="24"/>
          <w:szCs w:val="24"/>
          <w:highlight w:val="white"/>
          <w:rtl w:val="0"/>
        </w:rPr>
        <w:t xml:space="preserve">18 de out. de 2022.</w:t>
      </w:r>
    </w:p>
    <w:p w:rsidR="00000000" w:rsidDel="00000000" w:rsidP="00000000" w:rsidRDefault="00000000" w:rsidRPr="00000000" w14:paraId="000001A1">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2">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DECRETO nº 9.683, de 9 de janeiro de 2019. Aprova a Estrutura Regimental e o Quadro Demonstrativo dos Cargos em Comissão e das Funções de Confiança do Ministério das Relações Exteriores, remaneja cargos em comissão e funções de confiança e transforma Funções Comissionadas do Poder Executivo - FCPE. Disponível em: &lt;http://www.planalto.gov.br/ccivil_03/_ato2019-2022/2019/Decreto/D9683.htm&gt;. Acesso em: 07 mar. 2022.</w:t>
      </w:r>
      <w:r w:rsidDel="00000000" w:rsidR="00000000" w:rsidRPr="00000000">
        <w:rPr>
          <w:rtl w:val="0"/>
        </w:rPr>
      </w:r>
    </w:p>
    <w:p w:rsidR="00000000" w:rsidDel="00000000" w:rsidP="00000000" w:rsidRDefault="00000000" w:rsidRPr="00000000" w14:paraId="000001A3">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4">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DECRETO-LEI No 2.848, DE 7 DE DEZEMBRO DE 1940. Código Penal. Disponível em https://www.planalto.gov.br/ccivil_03/decreto-lei/del2848compilado.htm&gt;. Acesso em: 20 de out. de 2022.</w:t>
      </w:r>
    </w:p>
    <w:p w:rsidR="00000000" w:rsidDel="00000000" w:rsidP="00000000" w:rsidRDefault="00000000" w:rsidRPr="00000000" w14:paraId="000001A5">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6">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DECRETO-LEI Nº 3.688, DE 3 DE OUTUBRO DE 1941. Lei das Contravenções Penais. Disponível em &lt;http://www.planalto.gov.br/ccivil_03/decreto-lei/del3688.htm&gt;. Acesso em: 22 de out. de 2022.</w:t>
      </w:r>
    </w:p>
    <w:p w:rsidR="00000000" w:rsidDel="00000000" w:rsidP="00000000" w:rsidRDefault="00000000" w:rsidRPr="00000000" w14:paraId="000001A7">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8">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DECRETO-LEI Nº 3.689, de 03 de outubro de 1941, Código de Processo Penal. Disponível em &lt;</w:t>
      </w:r>
      <w:hyperlink r:id="rId15">
        <w:r w:rsidDel="00000000" w:rsidR="00000000" w:rsidRPr="00000000">
          <w:rPr>
            <w:rFonts w:ascii="Times New Roman" w:cs="Times New Roman" w:eastAsia="Times New Roman" w:hAnsi="Times New Roman"/>
            <w:sz w:val="24"/>
            <w:szCs w:val="24"/>
            <w:highlight w:val="white"/>
            <w:rtl w:val="0"/>
          </w:rPr>
          <w:t xml:space="preserve">http://www.planalto.gov.br/ccivil_03/decreto-lei/del3689compilado.htm#art810</w:t>
        </w:r>
      </w:hyperlink>
      <w:r w:rsidDel="00000000" w:rsidR="00000000" w:rsidRPr="00000000">
        <w:rPr>
          <w:rFonts w:ascii="Times New Roman" w:cs="Times New Roman" w:eastAsia="Times New Roman" w:hAnsi="Times New Roman"/>
          <w:sz w:val="24"/>
          <w:szCs w:val="24"/>
          <w:highlight w:val="white"/>
          <w:rtl w:val="0"/>
        </w:rPr>
        <w:t xml:space="preserve">&gt;. Acesso em: 27 out. de 2022</w:t>
      </w:r>
    </w:p>
    <w:p w:rsidR="00000000" w:rsidDel="00000000" w:rsidP="00000000" w:rsidRDefault="00000000" w:rsidRPr="00000000" w14:paraId="000001A9">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A">
      <w:pPr>
        <w:spacing w:after="0" w:line="240" w:lineRule="auto"/>
        <w:ind w:right="-4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DINIZ, Maria H. Curso de direito civil brasileiro: teoria das obrigações contratuais e extracontratuais. v.3. Editora Saraiva, 2022. E-book. ISBN 9786555598711. Disponível em: https://integrada.minhabiblioteca.com.br/#/books/9786555598711/. Acesso em: 22 out.. 2022.</w:t>
      </w:r>
    </w:p>
    <w:p w:rsidR="00000000" w:rsidDel="00000000" w:rsidP="00000000" w:rsidRDefault="00000000" w:rsidRPr="00000000" w14:paraId="000001AB">
      <w:pPr>
        <w:spacing w:after="0" w:line="360" w:lineRule="auto"/>
        <w:ind w:right="-45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C">
      <w:pPr>
        <w:spacing w:after="0" w:line="240" w:lineRule="auto"/>
        <w:ind w:right="-4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EDCL no RHC n. 51.523/RJ, relator Ministro Nefi Cordeiro, Sexta Turma, julgado em 18/8/2016, DJe de 29/8/2016. Disponível em &lt;</w:t>
      </w:r>
      <w:hyperlink r:id="rId16">
        <w:r w:rsidDel="00000000" w:rsidR="00000000" w:rsidRPr="00000000">
          <w:rPr>
            <w:rFonts w:ascii="Times New Roman" w:cs="Times New Roman" w:eastAsia="Times New Roman" w:hAnsi="Times New Roman"/>
            <w:sz w:val="24"/>
            <w:szCs w:val="24"/>
            <w:rtl w:val="0"/>
          </w:rPr>
          <w:t xml:space="preserve">https://processo.stj.jus.br/SCON/pesquisar.jsp?i=1&amp;b=ACOR&amp;livre=((%27EDRHC%27.clas.+e+@num=%2751523%27)+ou+(%27EDcl%20no%20RHC%27+adj+%2751523%27).suce.)&amp;thesaurus=JURIDICO&amp;fr=veja</w:t>
        </w:r>
      </w:hyperlink>
      <w:r w:rsidDel="00000000" w:rsidR="00000000" w:rsidRPr="00000000">
        <w:rPr>
          <w:rFonts w:ascii="Times New Roman" w:cs="Times New Roman" w:eastAsia="Times New Roman" w:hAnsi="Times New Roman"/>
          <w:sz w:val="24"/>
          <w:szCs w:val="24"/>
          <w:rtl w:val="0"/>
        </w:rPr>
        <w:t xml:space="preserve">&gt;. Acesso em: 05 de nov. de 2022.</w:t>
      </w:r>
    </w:p>
    <w:p w:rsidR="00000000" w:rsidDel="00000000" w:rsidP="00000000" w:rsidRDefault="00000000" w:rsidRPr="00000000" w14:paraId="000001AD">
      <w:pPr>
        <w:shd w:fill="ffffff" w:val="clear"/>
        <w:spacing w:line="36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E">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FILHO, Fabio Antônio Correia Filgueira. O contrato de prestação de serviços advocatícios. </w:t>
      </w:r>
      <w:r w:rsidDel="00000000" w:rsidR="00000000" w:rsidRPr="00000000">
        <w:rPr>
          <w:rFonts w:ascii="Times New Roman" w:cs="Times New Roman" w:eastAsia="Times New Roman" w:hAnsi="Times New Roman"/>
          <w:b w:val="1"/>
          <w:sz w:val="24"/>
          <w:szCs w:val="24"/>
          <w:highlight w:val="white"/>
          <w:rtl w:val="0"/>
        </w:rPr>
        <w:t xml:space="preserve">Migalhas</w:t>
      </w:r>
      <w:r w:rsidDel="00000000" w:rsidR="00000000" w:rsidRPr="00000000">
        <w:rPr>
          <w:rFonts w:ascii="Times New Roman" w:cs="Times New Roman" w:eastAsia="Times New Roman" w:hAnsi="Times New Roman"/>
          <w:sz w:val="24"/>
          <w:szCs w:val="24"/>
          <w:highlight w:val="white"/>
          <w:rtl w:val="0"/>
        </w:rPr>
        <w:t xml:space="preserve">, 2020. Disponível em: &lt;</w:t>
      </w:r>
      <w:r w:rsidDel="00000000" w:rsidR="00000000" w:rsidRPr="00000000">
        <w:rPr>
          <w:rFonts w:ascii="Times New Roman" w:cs="Times New Roman" w:eastAsia="Times New Roman" w:hAnsi="Times New Roman"/>
          <w:sz w:val="24"/>
          <w:szCs w:val="24"/>
          <w:rtl w:val="0"/>
        </w:rPr>
        <w:t xml:space="preserve">https://www.migalhas.com.br/depeso/323714/o-contrato-de-prestacao-de-servicos-advocaticios&gt;. Acesso em: 22 de out. de 2022.</w:t>
      </w:r>
    </w:p>
    <w:p w:rsidR="00000000" w:rsidDel="00000000" w:rsidP="00000000" w:rsidRDefault="00000000" w:rsidRPr="00000000" w14:paraId="000001AF">
      <w:pPr>
        <w:shd w:fill="ffffff" w:val="clear"/>
        <w:spacing w:line="36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0">
      <w:pPr>
        <w:shd w:fill="ffffff" w:val="clear"/>
        <w:spacing w:after="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FILHO, Misael M. </w:t>
      </w:r>
      <w:r w:rsidDel="00000000" w:rsidR="00000000" w:rsidRPr="00000000">
        <w:rPr>
          <w:rFonts w:ascii="Times New Roman" w:cs="Times New Roman" w:eastAsia="Times New Roman" w:hAnsi="Times New Roman"/>
          <w:b w:val="1"/>
          <w:sz w:val="24"/>
          <w:szCs w:val="24"/>
          <w:highlight w:val="white"/>
          <w:rtl w:val="0"/>
        </w:rPr>
        <w:t xml:space="preserve">Direito Processual Civil</w:t>
      </w:r>
      <w:r w:rsidDel="00000000" w:rsidR="00000000" w:rsidRPr="00000000">
        <w:rPr>
          <w:rFonts w:ascii="Times New Roman" w:cs="Times New Roman" w:eastAsia="Times New Roman" w:hAnsi="Times New Roman"/>
          <w:sz w:val="24"/>
          <w:szCs w:val="24"/>
          <w:highlight w:val="white"/>
          <w:rtl w:val="0"/>
        </w:rPr>
        <w:t xml:space="preserve">, 14ª edição. Grupo GEN, 2019. E-book. ISBN 9788597020304. Disponível em: &lt;https://integrada.minhabiblioteca.com.br/#/books/9788597020304/&gt;. Acesso em: 04 nov. 2022.</w:t>
      </w:r>
    </w:p>
    <w:p w:rsidR="00000000" w:rsidDel="00000000" w:rsidP="00000000" w:rsidRDefault="00000000" w:rsidRPr="00000000" w14:paraId="000001B1">
      <w:pPr>
        <w:shd w:fill="ffffff" w:val="clea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2">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 </w:t>
      </w:r>
      <w:r w:rsidDel="00000000" w:rsidR="00000000" w:rsidRPr="00000000">
        <w:rPr>
          <w:rFonts w:ascii="Times New Roman" w:cs="Times New Roman" w:eastAsia="Times New Roman" w:hAnsi="Times New Roman"/>
          <w:b w:val="1"/>
          <w:sz w:val="24"/>
          <w:szCs w:val="24"/>
          <w:rtl w:val="0"/>
        </w:rPr>
        <w:t xml:space="preserve">Direito Civil Brasileiro</w:t>
      </w:r>
      <w:r w:rsidDel="00000000" w:rsidR="00000000" w:rsidRPr="00000000">
        <w:rPr>
          <w:rFonts w:ascii="Times New Roman" w:cs="Times New Roman" w:eastAsia="Times New Roman" w:hAnsi="Times New Roman"/>
          <w:sz w:val="24"/>
          <w:szCs w:val="24"/>
          <w:rtl w:val="0"/>
        </w:rPr>
        <w:t xml:space="preserve"> - Volume 3. Editora Saraiva, 2022. E-book. ISBN 9786555596120. Disponível em: &lt;https://integrada.minhabiblioteca.com.br/#/books/9786555596120/&gt;. Acesso em: 22 out. 2022.</w:t>
      </w:r>
    </w:p>
    <w:p w:rsidR="00000000" w:rsidDel="00000000" w:rsidP="00000000" w:rsidRDefault="00000000" w:rsidRPr="00000000" w14:paraId="000001B3">
      <w:pPr>
        <w:shd w:fill="ffffff" w:val="clear"/>
        <w:spacing w:line="36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4">
      <w:pPr>
        <w:shd w:fill="ffffff" w:val="clear"/>
        <w:spacing w:after="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HC 223.441/RJ, Rel. Ministra LAURITA VAZ, QUINTA TURMA, julgado em 05/09/2013, DJe 11/09/2013. Disponível em &lt;</w:t>
      </w:r>
      <w:hyperlink r:id="rId17">
        <w:r w:rsidDel="00000000" w:rsidR="00000000" w:rsidRPr="00000000">
          <w:rPr>
            <w:rFonts w:ascii="Times New Roman" w:cs="Times New Roman" w:eastAsia="Times New Roman" w:hAnsi="Times New Roman"/>
            <w:sz w:val="24"/>
            <w:szCs w:val="24"/>
            <w:highlight w:val="white"/>
            <w:rtl w:val="0"/>
          </w:rPr>
          <w:t xml:space="preserve">https://processo.stj.jus.br/SCON/GetInteiroTeorDoAcordao?num_registro=201102599149&amp;dt_publicacao=11/09/2013</w:t>
        </w:r>
      </w:hyperlink>
      <w:r w:rsidDel="00000000" w:rsidR="00000000" w:rsidRPr="00000000">
        <w:rPr>
          <w:rFonts w:ascii="Times New Roman" w:cs="Times New Roman" w:eastAsia="Times New Roman" w:hAnsi="Times New Roman"/>
          <w:sz w:val="24"/>
          <w:szCs w:val="24"/>
          <w:highlight w:val="white"/>
          <w:rtl w:val="0"/>
        </w:rPr>
        <w:t xml:space="preserve">&gt;. Acesso em: 18 de out. de 2022.</w:t>
      </w:r>
    </w:p>
    <w:p w:rsidR="00000000" w:rsidDel="00000000" w:rsidP="00000000" w:rsidRDefault="00000000" w:rsidRPr="00000000" w14:paraId="000001B5">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6">
      <w:pPr>
        <w:spacing w:after="0" w:line="240" w:lineRule="auto"/>
        <w:ind w:right="-4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Honorários devem respeitar a boa fé. </w:t>
      </w:r>
      <w:r w:rsidDel="00000000" w:rsidR="00000000" w:rsidRPr="00000000">
        <w:rPr>
          <w:rFonts w:ascii="Times New Roman" w:cs="Times New Roman" w:eastAsia="Times New Roman" w:hAnsi="Times New Roman"/>
          <w:b w:val="1"/>
          <w:sz w:val="24"/>
          <w:szCs w:val="24"/>
          <w:highlight w:val="white"/>
          <w:rtl w:val="0"/>
        </w:rPr>
        <w:t xml:space="preserve">Migalhas</w:t>
      </w:r>
      <w:r w:rsidDel="00000000" w:rsidR="00000000" w:rsidRPr="00000000">
        <w:rPr>
          <w:rFonts w:ascii="Times New Roman" w:cs="Times New Roman" w:eastAsia="Times New Roman" w:hAnsi="Times New Roman"/>
          <w:sz w:val="24"/>
          <w:szCs w:val="24"/>
          <w:highlight w:val="white"/>
          <w:rtl w:val="0"/>
        </w:rPr>
        <w:t xml:space="preserve">, 2013. Disponível em: &lt;</w:t>
      </w:r>
      <w:r w:rsidDel="00000000" w:rsidR="00000000" w:rsidRPr="00000000">
        <w:rPr>
          <w:rFonts w:ascii="Times New Roman" w:cs="Times New Roman" w:eastAsia="Times New Roman" w:hAnsi="Times New Roman"/>
          <w:sz w:val="24"/>
          <w:szCs w:val="24"/>
          <w:rtl w:val="0"/>
        </w:rPr>
        <w:t xml:space="preserve">https://www.migalhas.com.br/quentes/187230/honorarios-devem-respeitar-boa-fe&gt;. Acesso em: 22 de out. de 2022.</w:t>
      </w:r>
    </w:p>
    <w:p w:rsidR="00000000" w:rsidDel="00000000" w:rsidP="00000000" w:rsidRDefault="00000000" w:rsidRPr="00000000" w14:paraId="000001B7">
      <w:pPr>
        <w:shd w:fill="ffffff" w:val="clear"/>
        <w:spacing w:line="36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8">
      <w:pPr>
        <w:shd w:fill="ffffff" w:val="clear"/>
        <w:spacing w:after="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JUNIOR, E. C. QUEIROZ. P. M. Honorários advocatícios contratuais: reflexões a partir de recente julgado do STJ. </w:t>
      </w:r>
      <w:r w:rsidDel="00000000" w:rsidR="00000000" w:rsidRPr="00000000">
        <w:rPr>
          <w:rFonts w:ascii="Times New Roman" w:cs="Times New Roman" w:eastAsia="Times New Roman" w:hAnsi="Times New Roman"/>
          <w:b w:val="1"/>
          <w:sz w:val="24"/>
          <w:szCs w:val="24"/>
          <w:highlight w:val="white"/>
          <w:rtl w:val="0"/>
        </w:rPr>
        <w:t xml:space="preserve">Migalhas</w:t>
      </w:r>
      <w:r w:rsidDel="00000000" w:rsidR="00000000" w:rsidRPr="00000000">
        <w:rPr>
          <w:rFonts w:ascii="Times New Roman" w:cs="Times New Roman" w:eastAsia="Times New Roman" w:hAnsi="Times New Roman"/>
          <w:sz w:val="24"/>
          <w:szCs w:val="24"/>
          <w:highlight w:val="white"/>
          <w:rtl w:val="0"/>
        </w:rPr>
        <w:t xml:space="preserve">, 2021. Disponível em: &lt;https://www.migalhas.com.br/coluna/migalhas-contratuais/341772/honorarios-advocaticios-contratuais-reflexoes-de-julgado-do-stj&gt;. Acesso em: 23 de out. de 2022.</w:t>
      </w:r>
    </w:p>
    <w:p w:rsidR="00000000" w:rsidDel="00000000" w:rsidP="00000000" w:rsidRDefault="00000000" w:rsidRPr="00000000" w14:paraId="000001B9">
      <w:pPr>
        <w:shd w:fill="ffffff" w:val="clear"/>
        <w:spacing w:line="36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A">
      <w:pPr>
        <w:shd w:fill="ffffff" w:val="clear"/>
        <w:spacing w:after="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LEI Nº 7.210, DE 11 DE JULHO DE 1984. Institui a Lei de Execução Penal. Disponível em &lt;</w:t>
      </w:r>
      <w:hyperlink r:id="rId18">
        <w:r w:rsidDel="00000000" w:rsidR="00000000" w:rsidRPr="00000000">
          <w:rPr>
            <w:rFonts w:ascii="Times New Roman" w:cs="Times New Roman" w:eastAsia="Times New Roman" w:hAnsi="Times New Roman"/>
            <w:sz w:val="24"/>
            <w:szCs w:val="24"/>
            <w:highlight w:val="white"/>
            <w:rtl w:val="0"/>
          </w:rPr>
          <w:t xml:space="preserve">http://www.planalto.gov.br/ccivil_03/leis/l7210.htm</w:t>
        </w:r>
      </w:hyperlink>
      <w:r w:rsidDel="00000000" w:rsidR="00000000" w:rsidRPr="00000000">
        <w:rPr>
          <w:rFonts w:ascii="Times New Roman" w:cs="Times New Roman" w:eastAsia="Times New Roman" w:hAnsi="Times New Roman"/>
          <w:sz w:val="24"/>
          <w:szCs w:val="24"/>
          <w:highlight w:val="white"/>
          <w:rtl w:val="0"/>
        </w:rPr>
        <w:t xml:space="preserve">&gt;. Acesso em: 20 de out. de 2022.</w:t>
      </w:r>
    </w:p>
    <w:p w:rsidR="00000000" w:rsidDel="00000000" w:rsidP="00000000" w:rsidRDefault="00000000" w:rsidRPr="00000000" w14:paraId="000001BB">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C">
      <w:pPr>
        <w:spacing w:after="0" w:line="240" w:lineRule="auto"/>
        <w:ind w:right="-4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LEI Nº 13.245, DE 12 DE JANEIRO DE 2016. Altera o art. 7º da Lei nº 8.906, de 4 de julho de 1994 (Estatuto da Ordem dos Advogados do Brasil). Disponível em &lt;</w:t>
      </w:r>
      <w:hyperlink r:id="rId19">
        <w:r w:rsidDel="00000000" w:rsidR="00000000" w:rsidRPr="00000000">
          <w:rPr>
            <w:rFonts w:ascii="Times New Roman" w:cs="Times New Roman" w:eastAsia="Times New Roman" w:hAnsi="Times New Roman"/>
            <w:sz w:val="24"/>
            <w:szCs w:val="24"/>
            <w:highlight w:val="white"/>
            <w:rtl w:val="0"/>
          </w:rPr>
          <w:t xml:space="preserve">http://www.planalto.gov.br/ccivil_03/_ato2015-2018/2016/lei/l13245.htm</w:t>
        </w:r>
      </w:hyperlink>
      <w:r w:rsidDel="00000000" w:rsidR="00000000" w:rsidRPr="00000000">
        <w:rPr>
          <w:rFonts w:ascii="Times New Roman" w:cs="Times New Roman" w:eastAsia="Times New Roman" w:hAnsi="Times New Roman"/>
          <w:sz w:val="24"/>
          <w:szCs w:val="24"/>
          <w:highlight w:val="white"/>
          <w:rtl w:val="0"/>
        </w:rPr>
        <w:t xml:space="preserve">&gt;. </w:t>
      </w:r>
      <w:r w:rsidDel="00000000" w:rsidR="00000000" w:rsidRPr="00000000">
        <w:rPr>
          <w:rFonts w:ascii="Times New Roman" w:cs="Times New Roman" w:eastAsia="Times New Roman" w:hAnsi="Times New Roman"/>
          <w:sz w:val="24"/>
          <w:szCs w:val="24"/>
          <w:rtl w:val="0"/>
        </w:rPr>
        <w:t xml:space="preserve">Acesso em: </w:t>
      </w:r>
      <w:r w:rsidDel="00000000" w:rsidR="00000000" w:rsidRPr="00000000">
        <w:rPr>
          <w:rFonts w:ascii="Times New Roman" w:cs="Times New Roman" w:eastAsia="Times New Roman" w:hAnsi="Times New Roman"/>
          <w:sz w:val="24"/>
          <w:szCs w:val="24"/>
          <w:highlight w:val="white"/>
          <w:rtl w:val="0"/>
        </w:rPr>
        <w:t xml:space="preserve">18 de out. de 2022.</w:t>
      </w:r>
      <w:r w:rsidDel="00000000" w:rsidR="00000000" w:rsidRPr="00000000">
        <w:rPr>
          <w:rtl w:val="0"/>
        </w:rPr>
      </w:r>
    </w:p>
    <w:p w:rsidR="00000000" w:rsidDel="00000000" w:rsidP="00000000" w:rsidRDefault="00000000" w:rsidRPr="00000000" w14:paraId="000001BD">
      <w:pPr>
        <w:spacing w:after="0" w:line="360" w:lineRule="auto"/>
        <w:ind w:right="-45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LEITE, Victor Emanuel C. </w:t>
      </w:r>
      <w:r w:rsidDel="00000000" w:rsidR="00000000" w:rsidRPr="00000000">
        <w:rPr>
          <w:rFonts w:ascii="Times New Roman" w:cs="Times New Roman" w:eastAsia="Times New Roman" w:hAnsi="Times New Roman"/>
          <w:b w:val="1"/>
          <w:sz w:val="24"/>
          <w:szCs w:val="24"/>
          <w:rtl w:val="0"/>
        </w:rPr>
        <w:t xml:space="preserve">Qual a diferença entre reincidência e má antecedência?</w:t>
      </w:r>
      <w:r w:rsidDel="00000000" w:rsidR="00000000" w:rsidRPr="00000000">
        <w:rPr>
          <w:rFonts w:ascii="Times New Roman" w:cs="Times New Roman" w:eastAsia="Times New Roman" w:hAnsi="Times New Roman"/>
          <w:sz w:val="24"/>
          <w:szCs w:val="24"/>
          <w:rtl w:val="0"/>
        </w:rPr>
        <w:t xml:space="preserve">. JUSBRASIL, 2018. Disponível em: &lt;https://castro96.jusbrasil.com.br/artigos/682247964/qual-a-diferenca-entre-reincidencia-e-ma-antecedencia#:~:text=Reincid%C3%AAncia%20espec%C3%ADfica%20%E2%80%93%20quando%20os%20dois,agente%20s%C3%A3o%20de%20esp%C3%A9cies%20distintas&gt;. Acesso em: 26 de outubro de 2022. </w:t>
      </w:r>
    </w:p>
    <w:p w:rsidR="00000000" w:rsidDel="00000000" w:rsidP="00000000" w:rsidRDefault="00000000" w:rsidRPr="00000000" w14:paraId="000001B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0">
      <w:pPr>
        <w:spacing w:after="0" w:line="240" w:lineRule="auto"/>
        <w:ind w:right="-4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MOTA PINTO, Carlos Alberto da, </w:t>
      </w:r>
      <w:r w:rsidDel="00000000" w:rsidR="00000000" w:rsidRPr="00000000">
        <w:rPr>
          <w:rFonts w:ascii="Times New Roman" w:cs="Times New Roman" w:eastAsia="Times New Roman" w:hAnsi="Times New Roman"/>
          <w:b w:val="1"/>
          <w:sz w:val="24"/>
          <w:szCs w:val="24"/>
          <w:highlight w:val="white"/>
          <w:rtl w:val="0"/>
        </w:rPr>
        <w:t xml:space="preserve">Teoria geral do direito civil</w:t>
      </w:r>
      <w:r w:rsidDel="00000000" w:rsidR="00000000" w:rsidRPr="00000000">
        <w:rPr>
          <w:rFonts w:ascii="Times New Roman" w:cs="Times New Roman" w:eastAsia="Times New Roman" w:hAnsi="Times New Roman"/>
          <w:sz w:val="24"/>
          <w:szCs w:val="24"/>
          <w:highlight w:val="white"/>
          <w:rtl w:val="0"/>
        </w:rPr>
        <w:t xml:space="preserve">. Coimbra: Coimbra Editora, 2005, p. 81.</w:t>
      </w:r>
      <w:r w:rsidDel="00000000" w:rsidR="00000000" w:rsidRPr="00000000">
        <w:rPr>
          <w:rtl w:val="0"/>
        </w:rPr>
      </w:r>
    </w:p>
    <w:p w:rsidR="00000000" w:rsidDel="00000000" w:rsidP="00000000" w:rsidRDefault="00000000" w:rsidRPr="00000000" w14:paraId="000001C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w:t>
      </w:r>
      <w:r w:rsidDel="00000000" w:rsidR="00000000" w:rsidRPr="00000000">
        <w:rPr>
          <w:rFonts w:ascii="Times New Roman" w:cs="Times New Roman" w:eastAsia="Times New Roman" w:hAnsi="Times New Roman"/>
          <w:b w:val="1"/>
          <w:sz w:val="24"/>
          <w:szCs w:val="24"/>
          <w:rtl w:val="0"/>
        </w:rPr>
        <w:t xml:space="preserve">Curso de Direito Penal - Parte Geral </w:t>
      </w:r>
      <w:r w:rsidDel="00000000" w:rsidR="00000000" w:rsidRPr="00000000">
        <w:rPr>
          <w:rFonts w:ascii="Times New Roman" w:cs="Times New Roman" w:eastAsia="Times New Roman" w:hAnsi="Times New Roman"/>
          <w:sz w:val="24"/>
          <w:szCs w:val="24"/>
          <w:rtl w:val="0"/>
        </w:rPr>
        <w:t xml:space="preserve">- Vol. 1. Disponível em: Minha Biblioteca, (5th edição). Grupo GEN, 2021. Disponível em: &lt;https://integrada.minhabiblioteca.com.br/reader/books/9788530993658/epubcfi/6/2[%3Bvnd.vst.idref%3Dcover]!/4/2/2%4076:52&gt;. Acesso em: 10 de out. de 2022</w:t>
      </w:r>
    </w:p>
    <w:p w:rsidR="00000000" w:rsidDel="00000000" w:rsidP="00000000" w:rsidRDefault="00000000" w:rsidRPr="00000000" w14:paraId="000001C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Pagamentos de honorários no fim da ação deve considerar total recebido pela parte. </w:t>
      </w:r>
      <w:r w:rsidDel="00000000" w:rsidR="00000000" w:rsidRPr="00000000">
        <w:rPr>
          <w:rFonts w:ascii="Times New Roman" w:cs="Times New Roman" w:eastAsia="Times New Roman" w:hAnsi="Times New Roman"/>
          <w:b w:val="1"/>
          <w:sz w:val="24"/>
          <w:szCs w:val="24"/>
          <w:highlight w:val="white"/>
          <w:rtl w:val="0"/>
        </w:rPr>
        <w:t xml:space="preserve">ConJur</w:t>
      </w:r>
      <w:r w:rsidDel="00000000" w:rsidR="00000000" w:rsidRPr="00000000">
        <w:rPr>
          <w:rFonts w:ascii="Times New Roman" w:cs="Times New Roman" w:eastAsia="Times New Roman" w:hAnsi="Times New Roman"/>
          <w:sz w:val="24"/>
          <w:szCs w:val="24"/>
          <w:highlight w:val="white"/>
          <w:rtl w:val="0"/>
        </w:rPr>
        <w:t xml:space="preserve">, 2019. Disponível em: &lt;https://www.conjur.com.br/2019-abr-01/pagamento-honorarios-fim-acao-considera-total-recebido&gt;. Acesso em: 22 de out. de 2022.</w:t>
      </w:r>
      <w:r w:rsidDel="00000000" w:rsidR="00000000" w:rsidRPr="00000000">
        <w:rPr>
          <w:rtl w:val="0"/>
        </w:rPr>
      </w:r>
    </w:p>
    <w:p w:rsidR="00000000" w:rsidDel="00000000" w:rsidP="00000000" w:rsidRDefault="00000000" w:rsidRPr="00000000" w14:paraId="000001C5">
      <w:pPr>
        <w:shd w:fill="ffffff" w:val="clea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6">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PÚBLICO, Conselho Nacional do Ministério. </w:t>
      </w:r>
      <w:r w:rsidDel="00000000" w:rsidR="00000000" w:rsidRPr="00000000">
        <w:rPr>
          <w:rFonts w:ascii="Times New Roman" w:cs="Times New Roman" w:eastAsia="Times New Roman" w:hAnsi="Times New Roman"/>
          <w:b w:val="1"/>
          <w:sz w:val="24"/>
          <w:szCs w:val="24"/>
          <w:rtl w:val="0"/>
        </w:rPr>
        <w:t xml:space="preserve">Crime Hediondo. </w:t>
      </w:r>
      <w:r w:rsidDel="00000000" w:rsidR="00000000" w:rsidRPr="00000000">
        <w:rPr>
          <w:rFonts w:ascii="Times New Roman" w:cs="Times New Roman" w:eastAsia="Times New Roman" w:hAnsi="Times New Roman"/>
          <w:sz w:val="24"/>
          <w:szCs w:val="24"/>
          <w:rtl w:val="0"/>
        </w:rPr>
        <w:t xml:space="preserve">Disponível em: &lt;</w:t>
      </w:r>
      <w:hyperlink r:id="rId20">
        <w:r w:rsidDel="00000000" w:rsidR="00000000" w:rsidRPr="00000000">
          <w:rPr>
            <w:rFonts w:ascii="Times New Roman" w:cs="Times New Roman" w:eastAsia="Times New Roman" w:hAnsi="Times New Roman"/>
            <w:sz w:val="24"/>
            <w:szCs w:val="24"/>
            <w:rtl w:val="0"/>
          </w:rPr>
          <w:t xml:space="preserve">https://www.cnmp.mp.br/portal/institucional/476-glossario/8190-crime-hediondo</w:t>
        </w:r>
      </w:hyperlink>
      <w:r w:rsidDel="00000000" w:rsidR="00000000" w:rsidRPr="00000000">
        <w:rPr>
          <w:rFonts w:ascii="Times New Roman" w:cs="Times New Roman" w:eastAsia="Times New Roman" w:hAnsi="Times New Roman"/>
          <w:sz w:val="24"/>
          <w:szCs w:val="24"/>
          <w:rtl w:val="0"/>
        </w:rPr>
        <w:t xml:space="preserve">&gt;. Acesso em 02 de nov 2022.</w:t>
      </w:r>
    </w:p>
    <w:p w:rsidR="00000000" w:rsidDel="00000000" w:rsidP="00000000" w:rsidRDefault="00000000" w:rsidRPr="00000000" w14:paraId="000001C7">
      <w:pPr>
        <w:shd w:fill="ffffff" w:val="clea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8">
      <w:pPr>
        <w:shd w:fill="ffffff" w:val="clear"/>
        <w:spacing w:after="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SÁ, Renato Montans D. </w:t>
      </w:r>
      <w:r w:rsidDel="00000000" w:rsidR="00000000" w:rsidRPr="00000000">
        <w:rPr>
          <w:rFonts w:ascii="Times New Roman" w:cs="Times New Roman" w:eastAsia="Times New Roman" w:hAnsi="Times New Roman"/>
          <w:b w:val="1"/>
          <w:sz w:val="24"/>
          <w:szCs w:val="24"/>
          <w:highlight w:val="white"/>
          <w:rtl w:val="0"/>
        </w:rPr>
        <w:t xml:space="preserve">MANUAL DE DIREITO PROCESSUAL CIVIL</w:t>
      </w:r>
      <w:r w:rsidDel="00000000" w:rsidR="00000000" w:rsidRPr="00000000">
        <w:rPr>
          <w:rFonts w:ascii="Times New Roman" w:cs="Times New Roman" w:eastAsia="Times New Roman" w:hAnsi="Times New Roman"/>
          <w:sz w:val="24"/>
          <w:szCs w:val="24"/>
          <w:highlight w:val="white"/>
          <w:rtl w:val="0"/>
        </w:rPr>
        <w:t xml:space="preserve">. Editora Saraiva, 2021. E-book. ISBN 9786555592757. Disponível em: &lt;https://integrada.minhabiblioteca.com.br/#/books/9786555592757/&gt;. Acesso em: 02 nov. 2022.</w:t>
      </w:r>
    </w:p>
    <w:p w:rsidR="00000000" w:rsidDel="00000000" w:rsidP="00000000" w:rsidRDefault="00000000" w:rsidRPr="00000000" w14:paraId="000001C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STJ - AgInt no AREsp: 895899 SP 2016/0086063-2, Relator: Ministro LUIS FELIPE SALOMÃO, Data de Julgamento: 18/08/2016, T4 - QUARTA TURMA, Data de Publicação: DJe 23/08/2016</w:t>
      </w:r>
    </w:p>
    <w:p w:rsidR="00000000" w:rsidDel="00000000" w:rsidP="00000000" w:rsidRDefault="00000000" w:rsidRPr="00000000" w14:paraId="000001CB">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C">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STJ - AgRg no RHC: 145950 SP 2021/0114151-7, Relator: Ministro REYNALDO SOARES DA FONSECA, Data de Julgamento: 04/05/2021, T5 - QUINTA TURMA, Data de Publicação: DJe 07/05/2021</w:t>
      </w:r>
    </w:p>
    <w:p w:rsidR="00000000" w:rsidDel="00000000" w:rsidP="00000000" w:rsidRDefault="00000000" w:rsidRPr="00000000" w14:paraId="000001CD">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E">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STJ - HC: 139412 SC 2009/0116052-9, Relator: Ministra MARIA THEREZA DE ASSIS MOURA, Data de Julgamento: 09/02/2010, T6 - SEXTA TURMA, Data de Publicação: DJe 22/03/2010</w:t>
      </w:r>
    </w:p>
    <w:p w:rsidR="00000000" w:rsidDel="00000000" w:rsidP="00000000" w:rsidRDefault="00000000" w:rsidRPr="00000000" w14:paraId="000001CF">
      <w:pPr>
        <w:shd w:fill="ffffff" w:val="clea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0">
      <w:pPr>
        <w:shd w:fill="ffffff" w:val="clea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STJ - REsp: 1155200 DF 2009/0169341-4, Relator: Ministro MASSAMI UYEDA, Data de Julgamento: 22/02/2011, T3 - TERCEIRA TURMA, Data de Publicação: DJe 02/03/2011</w:t>
      </w:r>
    </w:p>
    <w:p w:rsidR="00000000" w:rsidDel="00000000" w:rsidP="00000000" w:rsidRDefault="00000000" w:rsidRPr="00000000" w14:paraId="000001D1">
      <w:pPr>
        <w:shd w:fill="ffffff" w:val="clear"/>
        <w:spacing w:after="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2">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STJ - REsp: 1675996 SP 2017/0131400-5, Relator: Ministro PAULO DE TARSO SANSEVERINO, Data de Julgamento: 27/08/2019, T3 - TERCEIRA TURMA, Data de Publicação: DJe 03/09/2019</w:t>
      </w:r>
      <w:r w:rsidDel="00000000" w:rsidR="00000000" w:rsidRPr="00000000">
        <w:rPr>
          <w:rtl w:val="0"/>
        </w:rPr>
      </w:r>
    </w:p>
    <w:p w:rsidR="00000000" w:rsidDel="00000000" w:rsidP="00000000" w:rsidRDefault="00000000" w:rsidRPr="00000000" w14:paraId="000001D3">
      <w:pPr>
        <w:shd w:fill="ffffff" w:val="clea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4">
      <w:pPr>
        <w:shd w:fill="ffffff" w:val="clear"/>
        <w:spacing w:after="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STJ, Sexta Turma, AgRg no HC n. 747.089/SP, Rel. Ministro Sebastião Reis Júnior, julgado em 21-6-2022. Disponível em &lt;</w:t>
      </w:r>
      <w:hyperlink r:id="rId21">
        <w:r w:rsidDel="00000000" w:rsidR="00000000" w:rsidRPr="00000000">
          <w:rPr>
            <w:rFonts w:ascii="Times New Roman" w:cs="Times New Roman" w:eastAsia="Times New Roman" w:hAnsi="Times New Roman"/>
            <w:sz w:val="24"/>
            <w:szCs w:val="24"/>
            <w:highlight w:val="white"/>
            <w:rtl w:val="0"/>
          </w:rPr>
          <w:t xml:space="preserve">https://scon.stj.jus.br/SCON/GetInteiroTeorDoAcordao?num_registro=202201704829&amp;dt_publicacao=27/06/2022</w:t>
        </w:r>
      </w:hyperlink>
      <w:r w:rsidDel="00000000" w:rsidR="00000000" w:rsidRPr="00000000">
        <w:rPr>
          <w:rFonts w:ascii="Times New Roman" w:cs="Times New Roman" w:eastAsia="Times New Roman" w:hAnsi="Times New Roman"/>
          <w:sz w:val="24"/>
          <w:szCs w:val="24"/>
          <w:highlight w:val="white"/>
          <w:rtl w:val="0"/>
        </w:rPr>
        <w:t xml:space="preserve">&gt;. Acesso em: 24 de out. de 2022.</w:t>
      </w:r>
    </w:p>
    <w:p w:rsidR="00000000" w:rsidDel="00000000" w:rsidP="00000000" w:rsidRDefault="00000000" w:rsidRPr="00000000" w14:paraId="000001D5">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6">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SÚMULA 534, TERCEIRA SEÇÃO, julgado em 10/06/2015, DJe 15/06/2015). Disponível em &lt;</w:t>
      </w:r>
      <w:hyperlink r:id="rId22">
        <w:r w:rsidDel="00000000" w:rsidR="00000000" w:rsidRPr="00000000">
          <w:rPr>
            <w:rFonts w:ascii="Times New Roman" w:cs="Times New Roman" w:eastAsia="Times New Roman" w:hAnsi="Times New Roman"/>
            <w:sz w:val="24"/>
            <w:szCs w:val="24"/>
            <w:highlight w:val="white"/>
            <w:rtl w:val="0"/>
          </w:rPr>
          <w:t xml:space="preserve">https://www.stj.jus.br/sites/portalp/Paginas/Comunicacao/Noticias-antigas/2015/2015-06-15_11-17_Terceira-Secao-edita-mais-quatro-sumulas-na-area-penal.aspx</w:t>
        </w:r>
      </w:hyperlink>
      <w:r w:rsidDel="00000000" w:rsidR="00000000" w:rsidRPr="00000000">
        <w:rPr>
          <w:rFonts w:ascii="Times New Roman" w:cs="Times New Roman" w:eastAsia="Times New Roman" w:hAnsi="Times New Roman"/>
          <w:sz w:val="24"/>
          <w:szCs w:val="24"/>
          <w:highlight w:val="white"/>
          <w:rtl w:val="0"/>
        </w:rPr>
        <w:t xml:space="preserve">&gt;. Acesso em: 24 de out. de 2022.</w:t>
      </w:r>
    </w:p>
    <w:p w:rsidR="00000000" w:rsidDel="00000000" w:rsidP="00000000" w:rsidRDefault="00000000" w:rsidRPr="00000000" w14:paraId="000001D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TERRITÓRIOS, Tribunal de Justiça do Distrito Federal e dos. </w:t>
      </w:r>
      <w:r w:rsidDel="00000000" w:rsidR="00000000" w:rsidRPr="00000000">
        <w:rPr>
          <w:rFonts w:ascii="Times New Roman" w:cs="Times New Roman" w:eastAsia="Times New Roman" w:hAnsi="Times New Roman"/>
          <w:b w:val="1"/>
          <w:sz w:val="24"/>
          <w:szCs w:val="24"/>
          <w:rtl w:val="0"/>
        </w:rPr>
        <w:t xml:space="preserve">Unificação de penas – marco inicial para o cálculo de benefícios – trânsito em julgado. </w:t>
      </w:r>
      <w:r w:rsidDel="00000000" w:rsidR="00000000" w:rsidRPr="00000000">
        <w:rPr>
          <w:rFonts w:ascii="Times New Roman" w:cs="Times New Roman" w:eastAsia="Times New Roman" w:hAnsi="Times New Roman"/>
          <w:sz w:val="24"/>
          <w:szCs w:val="24"/>
          <w:rtl w:val="0"/>
        </w:rPr>
        <w:t xml:space="preserve">Publicado em 29/06/2021. Disponível em: &lt;</w:t>
      </w:r>
      <w:hyperlink r:id="rId23">
        <w:r w:rsidDel="00000000" w:rsidR="00000000" w:rsidRPr="00000000">
          <w:rPr>
            <w:rFonts w:ascii="Times New Roman" w:cs="Times New Roman" w:eastAsia="Times New Roman" w:hAnsi="Times New Roman"/>
            <w:sz w:val="24"/>
            <w:szCs w:val="24"/>
            <w:rtl w:val="0"/>
          </w:rPr>
          <w:t xml:space="preserve">https://www.tjdft.jus.br/consultas/jurisprudencia/jurisprudencia-em-temas/jurisprudencia-em-detalhes/execucao-penal/unificacao-das-penas-marco-inicial-para-calculo-de-beneficios-transito-em-julgado#:~:text=S%C3%BAmula%20534%20do%20STJ%20%E2%80%93%20%E2%80%9CA,partir%20do%20cometimento%20dessa%20infra%C3%A7%C3%A3o.%E2%80%9D</w:t>
        </w:r>
      </w:hyperlink>
      <w:r w:rsidDel="00000000" w:rsidR="00000000" w:rsidRPr="00000000">
        <w:rPr>
          <w:rFonts w:ascii="Times New Roman" w:cs="Times New Roman" w:eastAsia="Times New Roman" w:hAnsi="Times New Roman"/>
          <w:sz w:val="24"/>
          <w:szCs w:val="24"/>
          <w:rtl w:val="0"/>
        </w:rPr>
        <w:t xml:space="preserve">&gt;. Acesso em: 02 de nov 2022</w:t>
      </w:r>
    </w:p>
    <w:p w:rsidR="00000000" w:rsidDel="00000000" w:rsidP="00000000" w:rsidRDefault="00000000" w:rsidRPr="00000000" w14:paraId="000001D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A">
      <w:pPr>
        <w:spacing w:after="0" w:line="240" w:lineRule="auto"/>
        <w:ind w:right="-466"/>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TJ-MG - AGEPN: 10024130871437001 Belo Horizonte, Relator: Furtado de Mendonça, Data de Julgamento: 22/06/2021, Câmaras Criminais / 6ª CÂMARA CRIMINAL, Data de Publicação: 23/06/2021</w:t>
      </w:r>
    </w:p>
    <w:p w:rsidR="00000000" w:rsidDel="00000000" w:rsidP="00000000" w:rsidRDefault="00000000" w:rsidRPr="00000000" w14:paraId="000001DB">
      <w:pPr>
        <w:spacing w:after="0" w:line="360" w:lineRule="auto"/>
        <w:ind w:right="-465"/>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C">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TJ-RS - AC: 70047946520 RS, Relator: Ana Maria Nedel Scalzilli, Data de Julgamento: 30/07/2015, Décima Sexta Câmara Cível, Data de Publicação: Diário da Justiça do dia 03/08/2015</w:t>
      </w:r>
    </w:p>
    <w:p w:rsidR="00000000" w:rsidDel="00000000" w:rsidP="00000000" w:rsidRDefault="00000000" w:rsidRPr="00000000" w14:paraId="000001DD">
      <w:pPr>
        <w:shd w:fill="ffffff" w:val="clea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E">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TRF-4 - AG: 123435920124040000 PR 0012343-59.2012.4.04.0000, Relator: CELSO KIPPER, Data de Julgamento: 04/09/2013, SEXTA TURMA</w:t>
      </w:r>
    </w:p>
    <w:p w:rsidR="00000000" w:rsidDel="00000000" w:rsidP="00000000" w:rsidRDefault="00000000" w:rsidRPr="00000000" w14:paraId="000001DF">
      <w:pPr>
        <w:shd w:fill="ffffff" w:val="clea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E0">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TRT-1 - AIRO: 01014922620165010065 RJ, Relator: ROSANA SALIM VILLELA TRAVESEDO, Data de Julgamento: 04/07/2019, Quarta Turma, Data de Publicação: 30/07/2019</w:t>
      </w:r>
      <w:r w:rsidDel="00000000" w:rsidR="00000000" w:rsidRPr="00000000">
        <w:rPr>
          <w:rtl w:val="0"/>
        </w:rPr>
      </w:r>
    </w:p>
    <w:p w:rsidR="00000000" w:rsidDel="00000000" w:rsidP="00000000" w:rsidRDefault="00000000" w:rsidRPr="00000000" w14:paraId="000001E1">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2">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E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E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E5">
      <w:pPr>
        <w:spacing w:after="200" w:line="360" w:lineRule="auto"/>
        <w:ind w:firstLine="850"/>
        <w:jc w:val="both"/>
        <w:rPr>
          <w:rFonts w:ascii="Verdana" w:cs="Verdana" w:eastAsia="Verdana" w:hAnsi="Verdana"/>
          <w:sz w:val="24"/>
          <w:szCs w:val="24"/>
        </w:rPr>
      </w:pPr>
      <w:r w:rsidDel="00000000" w:rsidR="00000000" w:rsidRPr="00000000">
        <w:rPr>
          <w:rtl w:val="0"/>
        </w:rPr>
      </w:r>
    </w:p>
    <w:sectPr>
      <w:headerReference r:id="rId24" w:type="default"/>
      <w:footerReference r:id="rId25" w:type="default"/>
      <w:footerReference r:id="rId26"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4" w:date="2022-11-22T01:55:53Z">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3" w:date="2022-11-22T01:55:08Z">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Tem certeza que são policiais?</w:t>
      </w:r>
    </w:p>
  </w:comment>
  <w:comment w:author="Fabricio Silva Nicola" w:id="11" w:date="2022-11-22T02:01:31Z">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Nunca será nulo.</w:t>
      </w:r>
    </w:p>
  </w:comment>
  <w:comment w:author="MARCIA C MAENO DE CAMPOS" w:id="13" w:date="2022-11-16T16:37:48Z">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argumentação e questionamento correto!</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6" w:date="2022-11-22T01:57:47Z">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10" w:date="2022-11-22T02:01:03Z">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usa aspas.</w:t>
      </w:r>
    </w:p>
  </w:comment>
  <w:comment w:author="Fabricio Silva Nicola" w:id="5" w:date="2022-11-22T01:56:57Z">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Juliana Marques Borsari" w:id="12" w:date="2022-11-14T19:52:37Z">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William Cardozo Silva" w:id="14" w:date="2022-11-21T23:21:34Z">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fundamentação. Apenas senti falta de qual medida que o grupo entende adequada para que a consulente tome. Nota: 1,5</w:t>
      </w:r>
    </w:p>
  </w:comment>
  <w:comment w:author="Fabricio Silva Nicola" w:id="8" w:date="2022-11-22T01:58:39Z">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1" w:date="2022-11-22T01:53:17Z">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0" w:date="2022-11-22T02:01:58Z">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comment>
  <w:comment w:author="Fabricio Silva Nicola" w:id="7" w:date="2022-11-22T01:58:22Z">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Isso não guarda qualquer relação com o questionamento.</w:t>
      </w:r>
    </w:p>
  </w:comment>
  <w:comment w:author="Fabricio Silva Nicola" w:id="9" w:date="2022-11-22T01:59:13Z">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Destarte...</w:t>
      </w:r>
    </w:p>
  </w:comment>
  <w:comment w:author="Fabricio Silva Nicola" w:id="2" w:date="2022-11-22T01:54:40Z">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F4" w15:done="0"/>
  <w15:commentEx w15:paraId="000001F5" w15:done="0"/>
  <w15:commentEx w15:paraId="000001F6" w15:done="0"/>
  <w15:commentEx w15:paraId="000001F8" w15:done="0"/>
  <w15:commentEx w15:paraId="000001F9" w15:done="0"/>
  <w15:commentEx w15:paraId="000001FA" w15:done="0"/>
  <w15:commentEx w15:paraId="000001FB" w15:done="0"/>
  <w15:commentEx w15:paraId="000001FF" w15:done="0"/>
  <w15:commentEx w15:paraId="00000200" w15:done="0"/>
  <w15:commentEx w15:paraId="00000201" w15:done="0"/>
  <w15:commentEx w15:paraId="00000202" w15:done="0"/>
  <w15:commentEx w15:paraId="00000203" w15:done="0"/>
  <w15:commentEx w15:paraId="00000204" w15:done="0"/>
  <w15:commentEx w15:paraId="00000205" w15:done="0"/>
  <w15:commentEx w15:paraId="00000206"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F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F1">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F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F3">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8">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E9">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E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E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basedOn w:val="Fontepargpadro"/>
    <w:link w:val="Textodecomentrio"/>
    <w:uiPriority w:val="99"/>
    <w:semiHidden w:val="1"/>
    <w:rPr>
      <w:sz w:val="20"/>
      <w:szCs w:val="20"/>
    </w:rPr>
  </w:style>
  <w:style w:type="character" w:styleId="Refdecomentrio">
    <w:name w:val="annotation reference"/>
    <w:basedOn w:val="Fontepargpadro"/>
    <w:uiPriority w:val="99"/>
    <w:semiHidden w:val="1"/>
    <w:unhideWhenUsed w:val="1"/>
    <w:rPr>
      <w:sz w:val="16"/>
      <w:szCs w:val="16"/>
    </w:rPr>
  </w:style>
  <w:style w:type="paragraph" w:styleId="Textodebalo">
    <w:name w:val="Balloon Text"/>
    <w:basedOn w:val="Normal"/>
    <w:link w:val="TextodebaloChar"/>
    <w:uiPriority w:val="99"/>
    <w:semiHidden w:val="1"/>
    <w:unhideWhenUsed w:val="1"/>
    <w:rsid w:val="00A3227B"/>
    <w:pPr>
      <w:spacing w:after="0" w:line="240" w:lineRule="auto"/>
    </w:pPr>
    <w:rPr>
      <w:rFonts w:ascii="Segoe UI" w:cs="Segoe UI" w:hAnsi="Segoe UI"/>
      <w:sz w:val="18"/>
      <w:szCs w:val="18"/>
    </w:rPr>
  </w:style>
  <w:style w:type="character" w:styleId="TextodebaloChar" w:customStyle="1">
    <w:name w:val="Texto de balão Char"/>
    <w:basedOn w:val="Fontepargpadro"/>
    <w:link w:val="Textodebalo"/>
    <w:uiPriority w:val="99"/>
    <w:semiHidden w:val="1"/>
    <w:rsid w:val="00A3227B"/>
    <w:rPr>
      <w:rFonts w:ascii="Segoe UI" w:cs="Segoe UI" w:hAnsi="Segoe UI"/>
      <w:sz w:val="18"/>
      <w:szCs w:val="18"/>
    </w:rPr>
  </w:style>
  <w:style w:type="paragraph" w:styleId="Assuntodocomentrio">
    <w:name w:val="annotation subject"/>
    <w:basedOn w:val="Textodecomentrio"/>
    <w:next w:val="Textodecomentrio"/>
    <w:link w:val="AssuntodocomentrioChar"/>
    <w:uiPriority w:val="99"/>
    <w:semiHidden w:val="1"/>
    <w:unhideWhenUsed w:val="1"/>
    <w:rsid w:val="00A66899"/>
    <w:rPr>
      <w:b w:val="1"/>
      <w:bCs w:val="1"/>
    </w:rPr>
  </w:style>
  <w:style w:type="character" w:styleId="AssuntodocomentrioChar" w:customStyle="1">
    <w:name w:val="Assunto do comentário Char"/>
    <w:basedOn w:val="TextodecomentrioChar"/>
    <w:link w:val="Assuntodocomentrio"/>
    <w:uiPriority w:val="99"/>
    <w:semiHidden w:val="1"/>
    <w:rsid w:val="00A66899"/>
    <w:rPr>
      <w:b w:val="1"/>
      <w:bCs w:val="1"/>
      <w:sz w:val="20"/>
      <w:szCs w:val="20"/>
    </w:rPr>
  </w:style>
  <w:style w:type="paragraph" w:styleId="NormalWeb">
    <w:name w:val="Normal (Web)"/>
    <w:basedOn w:val="Normal"/>
    <w:uiPriority w:val="99"/>
    <w:unhideWhenUsed w:val="1"/>
    <w:rsid w:val="00A66899"/>
    <w:pPr>
      <w:spacing w:after="100" w:afterAutospacing="1" w:before="100" w:beforeAutospacing="1" w:line="240" w:lineRule="auto"/>
    </w:pPr>
    <w:rPr>
      <w:rFonts w:ascii="Times New Roman" w:cs="Times New Roman" w:eastAsia="Times New Roman" w:hAnsi="Times New Roman"/>
      <w:sz w:val="24"/>
      <w:szCs w:val="24"/>
    </w:rPr>
  </w:style>
  <w:style w:type="character" w:styleId="Hyperlink">
    <w:name w:val="Hyperlink"/>
    <w:basedOn w:val="Fontepargpadro"/>
    <w:uiPriority w:val="99"/>
    <w:semiHidden w:val="1"/>
    <w:unhideWhenUsed w:val="1"/>
    <w:rsid w:val="00A66899"/>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cnmp.mp.br/portal/institucional/476-glossario/8190-crime-hediondo" TargetMode="External"/><Relationship Id="rId22" Type="http://schemas.openxmlformats.org/officeDocument/2006/relationships/hyperlink" Target="https://www.stj.jus.br/sites/portalp/Paginas/Comunicacao/Noticias-antigas/2015/2015-06-15_11-17_Terceira-Secao-edita-mais-quatro-sumulas-na-area-penal.aspx" TargetMode="External"/><Relationship Id="rId21" Type="http://schemas.openxmlformats.org/officeDocument/2006/relationships/hyperlink" Target="https://scon.stj.jus.br/SCON/GetInteiroTeorDoAcordao?num_registro=202201704829&amp;dt_publicacao=27/06/2022" TargetMode="External"/><Relationship Id="rId24" Type="http://schemas.openxmlformats.org/officeDocument/2006/relationships/header" Target="header3.xml"/><Relationship Id="rId23" Type="http://schemas.openxmlformats.org/officeDocument/2006/relationships/hyperlink" Target="https://www.tjdft.jus.br/consultas/jurisprudencia/jurisprudencia-em-temas/jurisprudencia-em-detalhes/execucao-penal/unificacao-das-penas-marco-inicial-para-calculo-de-beneficios-transito-em-julgado#:~:text=S%C3%BAmula%20534%20do%20STJ%20%E2%80%93%20%E2%80%9CA,partir%20do%20cometimento%20dessa%20infra%C3%A7%C3%A3o.%E2%80%9D"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footer" Target="footer4.xml"/><Relationship Id="rId25"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www.planalto.gov.br/ccivil_03/decreto-lei/del3689compilado.htm#art810" TargetMode="External"/><Relationship Id="rId14" Type="http://schemas.openxmlformats.org/officeDocument/2006/relationships/hyperlink" Target="http://www.planalto.gov.br/ccivil_03/_ato2015-2018/2017/decreto/d9199.htm" TargetMode="External"/><Relationship Id="rId17" Type="http://schemas.openxmlformats.org/officeDocument/2006/relationships/hyperlink" Target="https://processo.stj.jus.br/SCON/GetInteiroTeorDoAcordao?num_registro=201102599149&amp;dt_publicacao=11/09/2013" TargetMode="External"/><Relationship Id="rId16" Type="http://schemas.openxmlformats.org/officeDocument/2006/relationships/hyperlink" Target="https://processo.stj.jus.br/SCON/pesquisar.jsp?i=1&amp;b=ACOR&amp;livre=((%27EDRHC%27.clas.+e+@num=%2751523%27)+ou+(%27EDcl%20no%20RHC%27+adj+%2751523%27).suce.)&amp;thesaurus=JURIDICO&amp;fr=veja" TargetMode="External"/><Relationship Id="rId19" Type="http://schemas.openxmlformats.org/officeDocument/2006/relationships/hyperlink" Target="http://www.planalto.gov.br/ccivil_03/_ato2015-2018/2016/lei/l13245.htm" TargetMode="External"/><Relationship Id="rId18" Type="http://schemas.openxmlformats.org/officeDocument/2006/relationships/hyperlink" Target="http://www.planalto.gov.br/ccivil_03/leis/l7210.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SPwtTAIOAhcOJraWl++m6StSzzg==">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2022-11-11T13:06:00Z</dcterms:created>
</cp:coreProperties>
</file>