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45"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2024</w:t>
      </w:r>
    </w:p>
    <w:p w:rsidR="00000000" w:rsidDel="00000000" w:rsidP="00000000" w:rsidRDefault="00000000" w:rsidRPr="00000000" w14:paraId="0000001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47"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rtl w:val="0"/>
        </w:rPr>
        <w:t xml:space="preserve">Iniciação no Direito Público — Turma A — Período Noturno</w:t>
      </w:r>
      <w:r w:rsidDel="00000000" w:rsidR="00000000" w:rsidRPr="00000000">
        <w:rPr>
          <w:rtl w:val="0"/>
        </w:rPr>
      </w:r>
    </w:p>
    <w:p w:rsidR="00000000" w:rsidDel="00000000" w:rsidP="00000000" w:rsidRDefault="00000000" w:rsidRPr="00000000" w14:paraId="0000002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Professores</w:t>
      </w:r>
    </w:p>
    <w:p w:rsidR="00000000" w:rsidDel="00000000" w:rsidP="00000000" w:rsidRDefault="00000000" w:rsidRPr="00000000" w14:paraId="0000002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Análise e Controle das Normas Constitucionais: Prof. Ms. João Fernando A. Palomo</w:t>
      </w:r>
    </w:p>
    <w:p w:rsidR="00000000" w:rsidDel="00000000" w:rsidP="00000000" w:rsidRDefault="00000000" w:rsidRPr="00000000" w14:paraId="0000002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Direito Penal: Prof. Ms. Cyro Gilberto Nogueira Sanseverino e Prof. Gustavo Massari</w:t>
      </w:r>
    </w:p>
    <w:p w:rsidR="00000000" w:rsidDel="00000000" w:rsidP="00000000" w:rsidRDefault="00000000" w:rsidRPr="00000000" w14:paraId="0000002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Direito Internacional: Profa. Daniele A. Cassucci de Lima</w:t>
      </w:r>
    </w:p>
    <w:p w:rsidR="00000000" w:rsidDel="00000000" w:rsidP="00000000" w:rsidRDefault="00000000" w:rsidRPr="00000000" w14:paraId="0000002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Estrutura do Estado e Direitos Fundamentais: Prof. Rafael Bragagnole Cambaúva</w:t>
      </w:r>
    </w:p>
    <w:p w:rsidR="00000000" w:rsidDel="00000000" w:rsidP="00000000" w:rsidRDefault="00000000" w:rsidRPr="00000000" w14:paraId="0000003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Elaborador do texto:  Prof. Rafael Bragagnole Cambaúva</w:t>
      </w:r>
    </w:p>
    <w:p w:rsidR="00000000" w:rsidDel="00000000" w:rsidP="00000000" w:rsidRDefault="00000000" w:rsidRPr="00000000" w14:paraId="00000031">
      <w:pPr>
        <w:rPr>
          <w:rFonts w:ascii="Times New Roman" w:cs="Times New Roman" w:eastAsia="Times New Roman" w:hAnsi="Times New Roman"/>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ind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tl w:val="0"/>
              </w:rPr>
            </w:r>
          </w:p>
        </w:tc>
      </w:tr>
    </w:tbl>
    <w:p w:rsidR="00000000" w:rsidDel="00000000" w:rsidP="00000000" w:rsidRDefault="00000000" w:rsidRPr="00000000" w14:paraId="0000003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Estudantes</w:t>
      </w:r>
    </w:p>
    <w:p w:rsidR="00000000" w:rsidDel="00000000" w:rsidP="00000000" w:rsidRDefault="00000000" w:rsidRPr="00000000" w14:paraId="0000003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Ana Paula Sanches Doval, 23001504</w:t>
      </w:r>
    </w:p>
    <w:p w:rsidR="00000000" w:rsidDel="00000000" w:rsidP="00000000" w:rsidRDefault="00000000" w:rsidRPr="00000000" w14:paraId="0000003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Bruno Eduardo Marques de Moraes, 23000593</w:t>
      </w:r>
    </w:p>
    <w:p w:rsidR="00000000" w:rsidDel="00000000" w:rsidP="00000000" w:rsidRDefault="00000000" w:rsidRPr="00000000" w14:paraId="0000003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Fábio Wilian Alves Pivanti, 23000460</w:t>
      </w:r>
    </w:p>
    <w:p w:rsidR="00000000" w:rsidDel="00000000" w:rsidP="00000000" w:rsidRDefault="00000000" w:rsidRPr="00000000" w14:paraId="00000038">
      <w:pPr>
        <w:rPr>
          <w:rFonts w:ascii="Times New Roman" w:cs="Times New Roman" w:eastAsia="Times New Roman" w:hAnsi="Times New Roman"/>
        </w:rPr>
        <w:sectPr>
          <w:headerReference r:id="rId11" w:type="default"/>
          <w:headerReference r:id="rId12" w:type="first"/>
          <w:footerReference r:id="rId13" w:type="default"/>
          <w:footerReference r:id="rId14"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rtl w:val="0"/>
        </w:rPr>
        <w:t xml:space="preserve">Maria Gabriella Zan Seridonio, 23000427</w:t>
      </w:r>
    </w:p>
    <w:p w:rsidR="00000000" w:rsidDel="00000000" w:rsidP="00000000" w:rsidRDefault="00000000" w:rsidRPr="00000000" w14:paraId="00000039">
      <w:pPr>
        <w:jc w:val="center"/>
        <w:rPr>
          <w:rFonts w:ascii="Verdana" w:cs="Verdana" w:eastAsia="Verdana" w:hAnsi="Verdana"/>
        </w:rPr>
      </w:pPr>
      <w:r w:rsidDel="00000000" w:rsidR="00000000" w:rsidRPr="00000000">
        <w:rPr/>
        <w:drawing>
          <wp:inline distB="114300" distT="114300" distL="114300" distR="114300">
            <wp:extent cx="2343150" cy="704850"/>
            <wp:effectExtent b="0" l="0" r="0" t="0"/>
            <wp:docPr id="46"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rPr>
            </w:pPr>
            <w:r w:rsidDel="00000000" w:rsidR="00000000" w:rsidRPr="00000000">
              <w:rPr>
                <w:rFonts w:ascii="Verdana" w:cs="Verdana" w:eastAsia="Verdana" w:hAnsi="Verdana"/>
                <w:b w:val="1"/>
                <w:sz w:val="52"/>
                <w:szCs w:val="52"/>
                <w:rtl w:val="0"/>
              </w:rPr>
              <w:t xml:space="preserve">PROJETO INTEGRADO 2024.2</w:t>
            </w:r>
            <w:r w:rsidDel="00000000" w:rsidR="00000000" w:rsidRPr="00000000">
              <w:rPr>
                <w:rtl w:val="0"/>
              </w:rPr>
            </w:r>
          </w:p>
        </w:tc>
      </w:tr>
    </w:tbl>
    <w:p w:rsidR="00000000" w:rsidDel="00000000" w:rsidP="00000000" w:rsidRDefault="00000000" w:rsidRPr="00000000" w14:paraId="0000003D">
      <w:pPr>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E">
      <w:pPr>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F">
      <w:pPr>
        <w:jc w:val="center"/>
        <w:rPr>
          <w:rFonts w:ascii="Verdana" w:cs="Verdana" w:eastAsia="Verdana" w:hAnsi="Verdana"/>
          <w:b w:val="1"/>
        </w:rPr>
      </w:pPr>
      <w:r w:rsidDel="00000000" w:rsidR="00000000" w:rsidRPr="00000000">
        <w:rPr>
          <w:rFonts w:ascii="Verdana" w:cs="Verdana" w:eastAsia="Verdana" w:hAnsi="Verdana"/>
          <w:b w:val="1"/>
          <w:rtl w:val="0"/>
        </w:rPr>
        <w:t xml:space="preserve">ISSN 1677-5651</w:t>
      </w:r>
    </w:p>
    <w:p w:rsidR="00000000" w:rsidDel="00000000" w:rsidP="00000000" w:rsidRDefault="00000000" w:rsidRPr="00000000" w14:paraId="00000040">
      <w:pPr>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41">
      <w:pPr>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Iniciação no Direito Público</w:t>
      </w:r>
      <w:r w:rsidDel="00000000" w:rsidR="00000000" w:rsidRPr="00000000">
        <w:rPr>
          <w:rtl w:val="0"/>
        </w:rPr>
      </w:r>
    </w:p>
    <w:p w:rsidR="00000000" w:rsidDel="00000000" w:rsidP="00000000" w:rsidRDefault="00000000" w:rsidRPr="00000000" w14:paraId="00000042">
      <w:pPr>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Rule="auto"/>
              <w:ind w:right="17"/>
              <w:rPr>
                <w:rFonts w:ascii="Verdana" w:cs="Verdana" w:eastAsia="Verdana" w:hAnsi="Verdana"/>
              </w:rPr>
            </w:pPr>
            <w:r w:rsidDel="00000000" w:rsidR="00000000" w:rsidRPr="00000000">
              <w:rPr>
                <w:rFonts w:ascii="Verdana" w:cs="Verdana" w:eastAsia="Verdana" w:hAnsi="Verdana"/>
                <w:b w:val="1"/>
                <w:rtl w:val="0"/>
              </w:rPr>
              <w:t xml:space="preserve">DESCRIÇÃO DA ATIVIDADE </w:t>
            </w:r>
            <w:r w:rsidDel="00000000" w:rsidR="00000000" w:rsidRPr="00000000">
              <w:rPr>
                <w:rtl w:val="0"/>
              </w:rPr>
            </w:r>
          </w:p>
          <w:p w:rsidR="00000000" w:rsidDel="00000000" w:rsidP="00000000" w:rsidRDefault="00000000" w:rsidRPr="00000000" w14:paraId="00000044">
            <w:pPr>
              <w:ind w:right="17"/>
              <w:rPr>
                <w:rFonts w:ascii="Verdana" w:cs="Verdana" w:eastAsia="Verdana" w:hAnsi="Verdana"/>
              </w:rPr>
            </w:pPr>
            <w:r w:rsidDel="00000000" w:rsidR="00000000" w:rsidRPr="00000000">
              <w:rPr>
                <w:rFonts w:ascii="Verdana" w:cs="Verdana" w:eastAsia="Verdana" w:hAnsi="Verdana"/>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rtl w:val="0"/>
              </w:rPr>
              <w:t xml:space="preserve">Google Classroom</w:t>
            </w:r>
            <w:r w:rsidDel="00000000" w:rsidR="00000000" w:rsidRPr="00000000">
              <w:rPr>
                <w:rFonts w:ascii="Verdana" w:cs="Verdana" w:eastAsia="Verdana" w:hAnsi="Verdana"/>
                <w:rtl w:val="0"/>
              </w:rPr>
              <w:t xml:space="preserve">) que aborde todas as unidades de estudo do módulo a partir do caso hipotético apresentado abaixo.</w:t>
            </w:r>
          </w:p>
          <w:p w:rsidR="00000000" w:rsidDel="00000000" w:rsidP="00000000" w:rsidRDefault="00000000" w:rsidRPr="00000000" w14:paraId="00000045">
            <w:pPr>
              <w:ind w:right="17"/>
              <w:rPr>
                <w:rFonts w:ascii="Verdana" w:cs="Verdana" w:eastAsia="Verdana" w:hAnsi="Verdana"/>
              </w:rPr>
            </w:pPr>
            <w:r w:rsidDel="00000000" w:rsidR="00000000" w:rsidRPr="00000000">
              <w:rPr>
                <w:rtl w:val="0"/>
              </w:rPr>
            </w:r>
          </w:p>
          <w:p w:rsidR="00000000" w:rsidDel="00000000" w:rsidP="00000000" w:rsidRDefault="00000000" w:rsidRPr="00000000" w14:paraId="00000046">
            <w:pPr>
              <w:ind w:right="17"/>
              <w:rPr>
                <w:rFonts w:ascii="Verdana" w:cs="Verdana" w:eastAsia="Verdana" w:hAnsi="Verdana"/>
              </w:rPr>
            </w:pPr>
            <w:r w:rsidDel="00000000" w:rsidR="00000000" w:rsidRPr="00000000">
              <w:rPr>
                <w:rFonts w:ascii="Verdana" w:cs="Verdana" w:eastAsia="Verdana" w:hAnsi="Verdana"/>
                <w:b w:val="1"/>
                <w:rtl w:val="0"/>
              </w:rPr>
              <w:t xml:space="preserve">OBJETIVOS</w:t>
            </w:r>
            <w:r w:rsidDel="00000000" w:rsidR="00000000" w:rsidRPr="00000000">
              <w:rPr>
                <w:rtl w:val="0"/>
              </w:rPr>
            </w:r>
          </w:p>
          <w:p w:rsidR="00000000" w:rsidDel="00000000" w:rsidP="00000000" w:rsidRDefault="00000000" w:rsidRPr="00000000" w14:paraId="00000047">
            <w:pPr>
              <w:ind w:right="17"/>
              <w:rPr>
                <w:rFonts w:ascii="Verdana" w:cs="Verdana" w:eastAsia="Verdana" w:hAnsi="Verdana"/>
              </w:rPr>
            </w:pPr>
            <w:r w:rsidDel="00000000" w:rsidR="00000000" w:rsidRPr="00000000">
              <w:rPr>
                <w:rFonts w:ascii="Verdana" w:cs="Verdana" w:eastAsia="Verdana" w:hAnsi="Verdana"/>
                <w:rtl w:val="0"/>
              </w:rPr>
              <w:t xml:space="preserve">Auxiliar o aluno a preparar-se para que ele seja:</w:t>
            </w:r>
          </w:p>
          <w:p w:rsidR="00000000" w:rsidDel="00000000" w:rsidP="00000000" w:rsidRDefault="00000000" w:rsidRPr="00000000" w14:paraId="00000048">
            <w:pPr>
              <w:numPr>
                <w:ilvl w:val="0"/>
                <w:numId w:val="5"/>
              </w:numPr>
              <w:ind w:left="720" w:right="17" w:hanging="360"/>
              <w:rPr>
                <w:rFonts w:ascii="Verdana" w:cs="Verdana" w:eastAsia="Verdana" w:hAnsi="Verdana"/>
              </w:rPr>
            </w:pPr>
            <w:r w:rsidDel="00000000" w:rsidR="00000000" w:rsidRPr="00000000">
              <w:rPr>
                <w:rFonts w:ascii="Verdana" w:cs="Verdana" w:eastAsia="Verdana" w:hAnsi="Verdana"/>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5"/>
              </w:numPr>
              <w:ind w:left="720" w:right="17" w:hanging="360"/>
              <w:rPr>
                <w:rFonts w:ascii="Verdana" w:cs="Verdana" w:eastAsia="Verdana" w:hAnsi="Verdana"/>
              </w:rPr>
            </w:pPr>
            <w:r w:rsidDel="00000000" w:rsidR="00000000" w:rsidRPr="00000000">
              <w:rPr>
                <w:rFonts w:ascii="Verdana" w:cs="Verdana" w:eastAsia="Verdana" w:hAnsi="Verdana"/>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5"/>
              </w:numPr>
              <w:ind w:left="720" w:right="17" w:hanging="360"/>
              <w:rPr>
                <w:rFonts w:ascii="Verdana" w:cs="Verdana" w:eastAsia="Verdana" w:hAnsi="Verdana"/>
              </w:rPr>
            </w:pPr>
            <w:r w:rsidDel="00000000" w:rsidR="00000000" w:rsidRPr="00000000">
              <w:rPr>
                <w:rFonts w:ascii="Verdana" w:cs="Verdana" w:eastAsia="Verdana" w:hAnsi="Verdana"/>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5"/>
              </w:numPr>
              <w:ind w:left="720" w:right="17" w:hanging="360"/>
              <w:rPr>
                <w:rFonts w:ascii="Verdana" w:cs="Verdana" w:eastAsia="Verdana" w:hAnsi="Verdana"/>
              </w:rPr>
            </w:pPr>
            <w:r w:rsidDel="00000000" w:rsidR="00000000" w:rsidRPr="00000000">
              <w:rPr>
                <w:rFonts w:ascii="Verdana" w:cs="Verdana" w:eastAsia="Verdana" w:hAnsi="Verdana"/>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5"/>
              </w:numPr>
              <w:ind w:left="720" w:right="17" w:hanging="360"/>
              <w:rPr>
                <w:rFonts w:ascii="Verdana" w:cs="Verdana" w:eastAsia="Verdana" w:hAnsi="Verdana"/>
              </w:rPr>
            </w:pPr>
            <w:r w:rsidDel="00000000" w:rsidR="00000000" w:rsidRPr="00000000">
              <w:rPr>
                <w:rFonts w:ascii="Verdana" w:cs="Verdana" w:eastAsia="Verdana" w:hAnsi="Verdana"/>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5"/>
              </w:numPr>
              <w:ind w:left="720" w:right="17" w:hanging="360"/>
              <w:rPr>
                <w:rFonts w:ascii="Verdana" w:cs="Verdana" w:eastAsia="Verdana" w:hAnsi="Verdana"/>
              </w:rPr>
            </w:pPr>
            <w:r w:rsidDel="00000000" w:rsidR="00000000" w:rsidRPr="00000000">
              <w:rPr>
                <w:rFonts w:ascii="Verdana" w:cs="Verdana" w:eastAsia="Verdana" w:hAnsi="Verdana"/>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5"/>
              </w:numPr>
              <w:ind w:left="720" w:right="17" w:hanging="360"/>
              <w:rPr>
                <w:rFonts w:ascii="Verdana" w:cs="Verdana" w:eastAsia="Verdana" w:hAnsi="Verdana"/>
              </w:rPr>
            </w:pPr>
            <w:r w:rsidDel="00000000" w:rsidR="00000000" w:rsidRPr="00000000">
              <w:rPr>
                <w:rFonts w:ascii="Verdana" w:cs="Verdana" w:eastAsia="Verdana" w:hAnsi="Verdana"/>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ind w:right="17"/>
              <w:rPr>
                <w:rFonts w:ascii="Verdana" w:cs="Verdana" w:eastAsia="Verdana" w:hAnsi="Verdana"/>
              </w:rPr>
            </w:pPr>
            <w:r w:rsidDel="00000000" w:rsidR="00000000" w:rsidRPr="00000000">
              <w:rPr>
                <w:rtl w:val="0"/>
              </w:rPr>
            </w:r>
          </w:p>
          <w:p w:rsidR="00000000" w:rsidDel="00000000" w:rsidP="00000000" w:rsidRDefault="00000000" w:rsidRPr="00000000" w14:paraId="00000050">
            <w:pPr>
              <w:rPr>
                <w:rFonts w:ascii="Verdana" w:cs="Verdana" w:eastAsia="Verdana" w:hAnsi="Verdana"/>
              </w:rPr>
            </w:pPr>
            <w:r w:rsidDel="00000000" w:rsidR="00000000" w:rsidRPr="00000000">
              <w:rPr>
                <w:rFonts w:ascii="Verdana" w:cs="Verdana" w:eastAsia="Verdana" w:hAnsi="Verdana"/>
                <w:b w:val="1"/>
                <w:rtl w:val="0"/>
              </w:rPr>
              <w:t xml:space="preserve">INSTRUÇÕES</w:t>
            </w:r>
            <w:r w:rsidDel="00000000" w:rsidR="00000000" w:rsidRPr="00000000">
              <w:rPr>
                <w:rtl w:val="0"/>
              </w:rPr>
            </w:r>
          </w:p>
          <w:p w:rsidR="00000000" w:rsidDel="00000000" w:rsidP="00000000" w:rsidRDefault="00000000" w:rsidRPr="00000000" w14:paraId="00000051">
            <w:pPr>
              <w:numPr>
                <w:ilvl w:val="0"/>
                <w:numId w:val="1"/>
              </w:numPr>
              <w:ind w:left="720" w:hanging="360"/>
              <w:rPr>
                <w:rFonts w:ascii="Verdana" w:cs="Verdana" w:eastAsia="Verdana" w:hAnsi="Verdana"/>
              </w:rPr>
            </w:pPr>
            <w:r w:rsidDel="00000000" w:rsidR="00000000" w:rsidRPr="00000000">
              <w:rPr>
                <w:rFonts w:ascii="Verdana" w:cs="Verdana" w:eastAsia="Verdana" w:hAnsi="Verdana"/>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1"/>
              </w:numPr>
              <w:ind w:left="720" w:hanging="360"/>
              <w:rPr/>
            </w:pPr>
            <w:r w:rsidDel="00000000" w:rsidR="00000000" w:rsidRPr="00000000">
              <w:rPr>
                <w:rFonts w:ascii="Verdana" w:cs="Verdana" w:eastAsia="Verdana" w:hAnsi="Verdana"/>
                <w:rtl w:val="0"/>
              </w:rPr>
              <w:t xml:space="preserve">Não haverá orientação </w:t>
            </w:r>
            <w:r w:rsidDel="00000000" w:rsidR="00000000" w:rsidRPr="00000000">
              <w:rPr>
                <w:rFonts w:ascii="Verdana" w:cs="Verdana" w:eastAsia="Verdana" w:hAnsi="Verdana"/>
                <w:b w:val="1"/>
                <w:u w:val="single"/>
                <w:rtl w:val="0"/>
              </w:rPr>
              <w:t xml:space="preserve">específica</w:t>
            </w:r>
            <w:r w:rsidDel="00000000" w:rsidR="00000000" w:rsidRPr="00000000">
              <w:rPr>
                <w:rFonts w:ascii="Verdana" w:cs="Verdana" w:eastAsia="Verdana" w:hAnsi="Verdana"/>
                <w:rtl w:val="0"/>
              </w:rPr>
              <w:t xml:space="preserve"> dos docentes para a solução dos questionamentos formulados, todavia, eles </w:t>
            </w:r>
            <w:r w:rsidDel="00000000" w:rsidR="00000000" w:rsidRPr="00000000">
              <w:rPr>
                <w:rFonts w:ascii="Verdana" w:cs="Verdana" w:eastAsia="Verdana" w:hAnsi="Verdana"/>
                <w:b w:val="1"/>
                <w:rtl w:val="0"/>
              </w:rPr>
              <w:t xml:space="preserve">deverão abordar os conteúdos, ainda que superficialmente, em suas aulas</w:t>
            </w:r>
            <w:r w:rsidDel="00000000" w:rsidR="00000000" w:rsidRPr="00000000">
              <w:rPr>
                <w:rFonts w:ascii="Verdana" w:cs="Verdana" w:eastAsia="Verdana" w:hAnsi="Verdana"/>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rtl w:val="0"/>
              </w:rPr>
              <w:t xml:space="preserve">sites </w:t>
            </w:r>
            <w:r w:rsidDel="00000000" w:rsidR="00000000" w:rsidRPr="00000000">
              <w:rPr>
                <w:rFonts w:ascii="Verdana" w:cs="Verdana" w:eastAsia="Verdana" w:hAnsi="Verdana"/>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1"/>
              </w:numPr>
              <w:ind w:left="720" w:hanging="360"/>
              <w:rPr>
                <w:rFonts w:ascii="Verdana" w:cs="Verdana" w:eastAsia="Verdana" w:hAnsi="Verdana"/>
              </w:rPr>
            </w:pPr>
            <w:r w:rsidDel="00000000" w:rsidR="00000000" w:rsidRPr="00000000">
              <w:rPr>
                <w:rFonts w:ascii="Verdana" w:cs="Verdana" w:eastAsia="Verdana" w:hAnsi="Verdana"/>
                <w:rtl w:val="0"/>
              </w:rPr>
              <w:t xml:space="preserve">Cada grupo deverá entregar um único Parecer Jurídico em formato digital (</w:t>
            </w:r>
            <w:r w:rsidDel="00000000" w:rsidR="00000000" w:rsidRPr="00000000">
              <w:rPr>
                <w:rFonts w:ascii="Verdana" w:cs="Verdana" w:eastAsia="Verdana" w:hAnsi="Verdana"/>
                <w:b w:val="1"/>
                <w:rtl w:val="0"/>
              </w:rPr>
              <w:t xml:space="preserve">arquivo.doc</w:t>
            </w:r>
            <w:r w:rsidDel="00000000" w:rsidR="00000000" w:rsidRPr="00000000">
              <w:rPr>
                <w:rFonts w:ascii="Verdana" w:cs="Verdana" w:eastAsia="Verdana" w:hAnsi="Verdana"/>
                <w:rtl w:val="0"/>
              </w:rPr>
              <w:t xml:space="preserve">), enviando o arquivo em formulário próprio a ser disponibilizado no Google Classroom dedicada ao projeto integrado.</w:t>
            </w:r>
          </w:p>
          <w:p w:rsidR="00000000" w:rsidDel="00000000" w:rsidP="00000000" w:rsidRDefault="00000000" w:rsidRPr="00000000" w14:paraId="00000054">
            <w:pPr>
              <w:numPr>
                <w:ilvl w:val="0"/>
                <w:numId w:val="1"/>
              </w:numPr>
              <w:ind w:left="720" w:hanging="360"/>
              <w:rPr>
                <w:rFonts w:ascii="Verdana" w:cs="Verdana" w:eastAsia="Verdana" w:hAnsi="Verdana"/>
                <w:b w:val="1"/>
              </w:rPr>
            </w:pPr>
            <w:r w:rsidDel="00000000" w:rsidR="00000000" w:rsidRPr="00000000">
              <w:rPr>
                <w:rFonts w:ascii="Verdana" w:cs="Verdana" w:eastAsia="Verdana" w:hAnsi="Verdana"/>
                <w:b w:val="1"/>
                <w:rtl w:val="0"/>
              </w:rPr>
              <w:t xml:space="preserve">Prazo de entrega: 18/11/2024</w:t>
            </w:r>
          </w:p>
          <w:p w:rsidR="00000000" w:rsidDel="00000000" w:rsidP="00000000" w:rsidRDefault="00000000" w:rsidRPr="00000000" w14:paraId="00000055">
            <w:pPr>
              <w:numPr>
                <w:ilvl w:val="0"/>
                <w:numId w:val="1"/>
              </w:numPr>
              <w:ind w:left="720" w:hanging="360"/>
              <w:rPr>
                <w:rFonts w:ascii="Verdana" w:cs="Verdana" w:eastAsia="Verdana" w:hAnsi="Verdana"/>
              </w:rPr>
            </w:pPr>
            <w:r w:rsidDel="00000000" w:rsidR="00000000" w:rsidRPr="00000000">
              <w:rPr>
                <w:rFonts w:ascii="Verdana" w:cs="Verdana" w:eastAsia="Verdana" w:hAnsi="Verdana"/>
                <w:rtl w:val="0"/>
              </w:rPr>
              <w:t xml:space="preserve">O padrão de resposta esperado será divulgado no dia 19/11/2024</w:t>
            </w:r>
          </w:p>
          <w:p w:rsidR="00000000" w:rsidDel="00000000" w:rsidP="00000000" w:rsidRDefault="00000000" w:rsidRPr="00000000" w14:paraId="00000056">
            <w:pPr>
              <w:rPr>
                <w:rFonts w:ascii="Verdana" w:cs="Verdana" w:eastAsia="Verdana" w:hAnsi="Verdana"/>
                <w:b w:val="1"/>
              </w:rPr>
            </w:pPr>
            <w:r w:rsidDel="00000000" w:rsidR="00000000" w:rsidRPr="00000000">
              <w:rPr>
                <w:rFonts w:ascii="Verdana" w:cs="Verdana" w:eastAsia="Verdana" w:hAnsi="Verdana"/>
                <w:b w:val="1"/>
                <w:rtl w:val="0"/>
              </w:rPr>
              <w:t xml:space="preserve">PONTUAÇÃO:</w:t>
            </w:r>
          </w:p>
          <w:p w:rsidR="00000000" w:rsidDel="00000000" w:rsidP="00000000" w:rsidRDefault="00000000" w:rsidRPr="00000000" w14:paraId="00000057">
            <w:pPr>
              <w:rPr>
                <w:rFonts w:ascii="Verdana" w:cs="Verdana" w:eastAsia="Verdana" w:hAnsi="Verdana"/>
              </w:rPr>
            </w:pPr>
            <w:r w:rsidDel="00000000" w:rsidR="00000000" w:rsidRPr="00000000">
              <w:rPr>
                <w:rFonts w:ascii="Verdana" w:cs="Verdana" w:eastAsia="Verdana" w:hAnsi="Verdana"/>
                <w:rtl w:val="0"/>
              </w:rPr>
              <w:t xml:space="preserve">O valor máximo a ser acrescido na nota P2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ind w:left="720" w:hanging="360"/>
              <w:rPr>
                <w:rFonts w:ascii="Verdana" w:cs="Verdana" w:eastAsia="Verdana" w:hAnsi="Verdana"/>
              </w:rPr>
            </w:pPr>
            <w:r w:rsidDel="00000000" w:rsidR="00000000" w:rsidRPr="00000000">
              <w:rPr>
                <w:rFonts w:ascii="Verdana" w:cs="Verdana" w:eastAsia="Verdana" w:hAnsi="Verdana"/>
                <w:rtl w:val="0"/>
              </w:rPr>
              <w:t xml:space="preserve">0,0 (zero), caso não seja entregue o parecer no prazo </w:t>
            </w:r>
          </w:p>
          <w:p w:rsidR="00000000" w:rsidDel="00000000" w:rsidP="00000000" w:rsidRDefault="00000000" w:rsidRPr="00000000" w14:paraId="00000059">
            <w:pPr>
              <w:numPr>
                <w:ilvl w:val="0"/>
                <w:numId w:val="4"/>
              </w:numPr>
              <w:ind w:left="720" w:hanging="360"/>
              <w:rPr>
                <w:rFonts w:ascii="Verdana" w:cs="Verdana" w:eastAsia="Verdana" w:hAnsi="Verdana"/>
              </w:rPr>
            </w:pPr>
            <w:r w:rsidDel="00000000" w:rsidR="00000000" w:rsidRPr="00000000">
              <w:rPr>
                <w:rFonts w:ascii="Verdana" w:cs="Verdana" w:eastAsia="Verdana" w:hAnsi="Verdana"/>
                <w:rtl w:val="0"/>
              </w:rPr>
              <w:t xml:space="preserve">0,5 (meio), caso o parecer seja considerado ruim </w:t>
            </w:r>
          </w:p>
          <w:p w:rsidR="00000000" w:rsidDel="00000000" w:rsidP="00000000" w:rsidRDefault="00000000" w:rsidRPr="00000000" w14:paraId="0000005A">
            <w:pPr>
              <w:numPr>
                <w:ilvl w:val="0"/>
                <w:numId w:val="4"/>
              </w:numPr>
              <w:ind w:left="720" w:hanging="360"/>
              <w:rPr>
                <w:rFonts w:ascii="Verdana" w:cs="Verdana" w:eastAsia="Verdana" w:hAnsi="Verdana"/>
              </w:rPr>
            </w:pPr>
            <w:r w:rsidDel="00000000" w:rsidR="00000000" w:rsidRPr="00000000">
              <w:rPr>
                <w:rFonts w:ascii="Verdana" w:cs="Verdana" w:eastAsia="Verdana" w:hAnsi="Verdana"/>
                <w:rtl w:val="0"/>
              </w:rPr>
              <w:t xml:space="preserve">1,0 (um) caso o parecer seja considerado regular</w:t>
            </w:r>
          </w:p>
          <w:p w:rsidR="00000000" w:rsidDel="00000000" w:rsidP="00000000" w:rsidRDefault="00000000" w:rsidRPr="00000000" w14:paraId="0000005B">
            <w:pPr>
              <w:numPr>
                <w:ilvl w:val="0"/>
                <w:numId w:val="4"/>
              </w:numPr>
              <w:ind w:left="720" w:hanging="360"/>
              <w:rPr>
                <w:rFonts w:ascii="Verdana" w:cs="Verdana" w:eastAsia="Verdana" w:hAnsi="Verdana"/>
              </w:rPr>
            </w:pPr>
            <w:r w:rsidDel="00000000" w:rsidR="00000000" w:rsidRPr="00000000">
              <w:rPr>
                <w:rFonts w:ascii="Verdana" w:cs="Verdana" w:eastAsia="Verdana" w:hAnsi="Verdana"/>
                <w:rtl w:val="0"/>
              </w:rPr>
              <w:t xml:space="preserve">1,5 (um e meio) caso o parecer seja considerado bom</w:t>
            </w:r>
          </w:p>
          <w:p w:rsidR="00000000" w:rsidDel="00000000" w:rsidP="00000000" w:rsidRDefault="00000000" w:rsidRPr="00000000" w14:paraId="0000005C">
            <w:pPr>
              <w:numPr>
                <w:ilvl w:val="0"/>
                <w:numId w:val="4"/>
              </w:numPr>
              <w:spacing w:after="200" w:lineRule="auto"/>
              <w:ind w:left="720" w:hanging="360"/>
              <w:rPr>
                <w:rFonts w:ascii="Verdana" w:cs="Verdana" w:eastAsia="Verdana" w:hAnsi="Verdana"/>
              </w:rPr>
            </w:pPr>
            <w:r w:rsidDel="00000000" w:rsidR="00000000" w:rsidRPr="00000000">
              <w:rPr>
                <w:rFonts w:ascii="Verdana" w:cs="Verdana" w:eastAsia="Verdana" w:hAnsi="Verdana"/>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leader="none" w:pos="4252"/>
          <w:tab w:val="right" w:leader="none" w:pos="8504"/>
        </w:tabs>
        <w:spacing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leader="none" w:pos="4252"/>
          <w:tab w:val="right" w:leader="none" w:pos="8504"/>
        </w:tabs>
        <w:spacing w:line="240" w:lineRule="auto"/>
        <w:jc w:val="right"/>
        <w:rPr>
          <w:rFonts w:ascii="Verdana" w:cs="Verdana" w:eastAsia="Verdana" w:hAnsi="Verdana"/>
        </w:rPr>
      </w:pPr>
      <w:r w:rsidDel="00000000" w:rsidR="00000000" w:rsidRPr="00000000">
        <w:rPr>
          <w:rtl w:val="0"/>
        </w:rPr>
      </w:r>
    </w:p>
    <w:p w:rsidR="00000000" w:rsidDel="00000000" w:rsidP="00000000" w:rsidRDefault="00000000" w:rsidRPr="00000000" w14:paraId="00000061">
      <w:pPr>
        <w:spacing w:after="200" w:lineRule="auto"/>
        <w:ind w:firstLine="850"/>
        <w:rPr>
          <w:rFonts w:ascii="Verdana" w:cs="Verdana" w:eastAsia="Verdana" w:hAnsi="Verdana"/>
        </w:rPr>
      </w:pPr>
      <w:r w:rsidDel="00000000" w:rsidR="00000000" w:rsidRPr="00000000">
        <w:rPr>
          <w:rtl w:val="0"/>
        </w:rPr>
      </w:r>
    </w:p>
    <w:p w:rsidR="00000000" w:rsidDel="00000000" w:rsidP="00000000" w:rsidRDefault="00000000" w:rsidRPr="00000000" w14:paraId="00000062">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À medida que os assentos, até então reclinados, eram colocados em posição vertical, o parlamentar podia sentir o aumento da pressão arterial, tamanho era o entusiasmo com a chegada no aeroporto de Schiphol. O voo da KLM, partido de Guarulhos, havia sido longo, conforme previsto, mas tanto ele quanto Antônio, seu chefe de gabinete, pareciam dispostos a iniciar sua “missão” tão logo pudessem tocar o solo da capital holandesa.</w:t>
      </w:r>
    </w:p>
    <w:p w:rsidR="00000000" w:rsidDel="00000000" w:rsidP="00000000" w:rsidRDefault="00000000" w:rsidRPr="00000000" w14:paraId="00000063">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Eleito Deputado Federal no pleito de 2022, Jacob construiu a carreira política com discursos de combate à repressão policial sobre usuários de entorpecentes, atuando inclusive como organizador de algumas “marchas da maconha”. Defensor da liberdade irrestrita, foi alçado à fama com uma bem sucedida estratégia de utilização das mídias sociais, espaço constantemente utilizado para a publicação de vídeos provocativos e notícias a respeito de temáticas ligadas às drogas, tendo alcançado o posto de Presidente da Câmara dos Deputados.</w:t>
      </w:r>
    </w:p>
    <w:p w:rsidR="00000000" w:rsidDel="00000000" w:rsidP="00000000" w:rsidRDefault="00000000" w:rsidRPr="00000000" w14:paraId="00000064">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Realizado o check-in, eles deixaram as malas nos quartos do hotel e seguiram para De Wallen, mundialmente conhecido como o Red Light District de Amsterdam, mas não em busca do mercado do sexo explorado nas ruelas estreitas no entorno da Oude Kerk.</w:t>
      </w:r>
    </w:p>
    <w:p w:rsidR="00000000" w:rsidDel="00000000" w:rsidP="00000000" w:rsidRDefault="00000000" w:rsidRPr="00000000" w14:paraId="00000065">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Chegamos, enfim, ao epicentro, Antônio.</w:t>
      </w:r>
    </w:p>
    <w:p w:rsidR="00000000" w:rsidDel="00000000" w:rsidP="00000000" w:rsidRDefault="00000000" w:rsidRPr="00000000" w14:paraId="00000066">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Consigo sentir a energia!</w:t>
      </w:r>
    </w:p>
    <w:p w:rsidR="00000000" w:rsidDel="00000000" w:rsidP="00000000" w:rsidRDefault="00000000" w:rsidRPr="00000000" w14:paraId="00000067">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Realmente, aqui tem uma atmosfera diferente. Todo mundo vendo moças de lingerie por essas janelas enormes, verdadeiras vitrines.</w:t>
      </w:r>
    </w:p>
    <w:p w:rsidR="00000000" w:rsidDel="00000000" w:rsidP="00000000" w:rsidRDefault="00000000" w:rsidRPr="00000000" w14:paraId="00000068">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Espetáculo que me faz muito bem para os olhos, inclusive. E os frequentadores circulam de forma bem mais ordeira do que eu esperava.</w:t>
      </w:r>
    </w:p>
    <w:p w:rsidR="00000000" w:rsidDel="00000000" w:rsidP="00000000" w:rsidRDefault="00000000" w:rsidRPr="00000000" w14:paraId="00000069">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Ordeira e, estranhamente, sem qualquer odor de…</w:t>
      </w:r>
    </w:p>
    <w:p w:rsidR="00000000" w:rsidDel="00000000" w:rsidP="00000000" w:rsidRDefault="00000000" w:rsidRPr="00000000" w14:paraId="0000006A">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“Ervas finas”!</w:t>
      </w:r>
    </w:p>
    <w:p w:rsidR="00000000" w:rsidDel="00000000" w:rsidP="00000000" w:rsidRDefault="00000000" w:rsidRPr="00000000" w14:paraId="0000006B">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Você é muito polido, meu caro. Eu ia falar de beck, de baseado. </w:t>
      </w:r>
    </w:p>
    <w:p w:rsidR="00000000" w:rsidDel="00000000" w:rsidP="00000000" w:rsidRDefault="00000000" w:rsidRPr="00000000" w14:paraId="0000006C">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Só pra gente manter o nível institucional da nossa visita, Deputado  — disse o chefe de gabinete, com sorriso sarcástico.</w:t>
      </w:r>
    </w:p>
    <w:p w:rsidR="00000000" w:rsidDel="00000000" w:rsidP="00000000" w:rsidRDefault="00000000" w:rsidRPr="00000000" w14:paraId="0000006D">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Diferentemente do que muitos acreditam, a Holanda não é um </w:t>
      </w:r>
      <w:r w:rsidDel="00000000" w:rsidR="00000000" w:rsidRPr="00000000">
        <w:rPr>
          <w:rFonts w:ascii="Verdana" w:cs="Verdana" w:eastAsia="Verdana" w:hAnsi="Verdana"/>
          <w:i w:val="1"/>
          <w:rtl w:val="0"/>
        </w:rPr>
        <w:t xml:space="preserve">resort</w:t>
      </w:r>
      <w:r w:rsidDel="00000000" w:rsidR="00000000" w:rsidRPr="00000000">
        <w:rPr>
          <w:rFonts w:ascii="Verdana" w:cs="Verdana" w:eastAsia="Verdana" w:hAnsi="Verdana"/>
          <w:rtl w:val="0"/>
        </w:rPr>
        <w:t xml:space="preserve"> a céu aberto para consumo indiscriminado de drogas. Desde 1976 está em vigor a lei que descriminalizou o porte de até 30g de maconha, mas isso não significa que o comércio esteja liberado no país, havendo, na verdade, uma tolerância para que os chamados </w:t>
      </w:r>
      <w:r w:rsidDel="00000000" w:rsidR="00000000" w:rsidRPr="00000000">
        <w:rPr>
          <w:rFonts w:ascii="Verdana" w:cs="Verdana" w:eastAsia="Verdana" w:hAnsi="Verdana"/>
          <w:i w:val="1"/>
          <w:rtl w:val="0"/>
        </w:rPr>
        <w:t xml:space="preserve">coffeeshops</w:t>
      </w:r>
      <w:r w:rsidDel="00000000" w:rsidR="00000000" w:rsidRPr="00000000">
        <w:rPr>
          <w:rFonts w:ascii="Verdana" w:cs="Verdana" w:eastAsia="Verdana" w:hAnsi="Verdana"/>
          <w:rtl w:val="0"/>
        </w:rPr>
        <w:t xml:space="preserve"> façam as vendas, desde que se limitem a fornecer até 5g por pessoa, dentre outras restrições</w:t>
      </w:r>
      <w:r w:rsidDel="00000000" w:rsidR="00000000" w:rsidRPr="00000000">
        <w:rPr>
          <w:rFonts w:ascii="Verdana" w:cs="Verdana" w:eastAsia="Verdana" w:hAnsi="Verdana"/>
          <w:vertAlign w:val="superscript"/>
        </w:rPr>
        <w:footnoteReference w:customMarkFollows="0" w:id="0"/>
      </w:r>
      <w:r w:rsidDel="00000000" w:rsidR="00000000" w:rsidRPr="00000000">
        <w:rPr>
          <w:rFonts w:ascii="Verdana" w:cs="Verdana" w:eastAsia="Verdana" w:hAnsi="Verdana"/>
          <w:rtl w:val="0"/>
        </w:rPr>
        <w:t xml:space="preserve">.</w:t>
      </w:r>
    </w:p>
    <w:p w:rsidR="00000000" w:rsidDel="00000000" w:rsidP="00000000" w:rsidRDefault="00000000" w:rsidRPr="00000000" w14:paraId="0000006E">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Sem qualquer conhecimento da legislação holandesa, e baseando-se no que fora recentemente decidido pelo Supremo Tribunal Federal</w:t>
      </w:r>
      <w:r w:rsidDel="00000000" w:rsidR="00000000" w:rsidRPr="00000000">
        <w:rPr>
          <w:rFonts w:ascii="Verdana" w:cs="Verdana" w:eastAsia="Verdana" w:hAnsi="Verdana"/>
          <w:vertAlign w:val="superscript"/>
        </w:rPr>
        <w:footnoteReference w:customMarkFollows="0" w:id="1"/>
      </w:r>
      <w:r w:rsidDel="00000000" w:rsidR="00000000" w:rsidRPr="00000000">
        <w:rPr>
          <w:rFonts w:ascii="Verdana" w:cs="Verdana" w:eastAsia="Verdana" w:hAnsi="Verdana"/>
          <w:rtl w:val="0"/>
        </w:rPr>
        <w:t xml:space="preserve">, Jacob percorreu diversos estabelecimentos para adquirir maconha legalmente, ficando frustrado com a negativa de acesso à quantidade desejada.</w:t>
      </w:r>
    </w:p>
    <w:p w:rsidR="00000000" w:rsidDel="00000000" w:rsidP="00000000" w:rsidRDefault="00000000" w:rsidRPr="00000000" w14:paraId="0000006F">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Esses holandeses estão de tiração com a nossa cara, Antônio. Em cada portinha dessa que a gente entra só deixam pegar 5g, que dá uns 10 baseados. Isso não é suficiente pra fazer o vídeo.</w:t>
      </w:r>
    </w:p>
    <w:p w:rsidR="00000000" w:rsidDel="00000000" w:rsidP="00000000" w:rsidRDefault="00000000" w:rsidRPr="00000000" w14:paraId="00000070">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Antes mesmo de deixar o Brasil, o Deputado divulgou em suas redes que viajaria até a Holanda para mostrar “como um país avançado trata com respeito os usuários de maconha”, acreditando que poderia adquirir grandes quantidades legalmente. As publicações vinham tendo elevado alcance, porém seu objetivo de passar a mensagem libertária parecia, na prática, um tanto difícil de ser alcançado.</w:t>
      </w:r>
    </w:p>
    <w:p w:rsidR="00000000" w:rsidDel="00000000" w:rsidP="00000000" w:rsidRDefault="00000000" w:rsidRPr="00000000" w14:paraId="00000071">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Em vista do tratamento recebido nos </w:t>
      </w:r>
      <w:r w:rsidDel="00000000" w:rsidR="00000000" w:rsidRPr="00000000">
        <w:rPr>
          <w:rFonts w:ascii="Verdana" w:cs="Verdana" w:eastAsia="Verdana" w:hAnsi="Verdana"/>
          <w:i w:val="1"/>
          <w:rtl w:val="0"/>
        </w:rPr>
        <w:t xml:space="preserve">coffeeshops</w:t>
      </w:r>
      <w:r w:rsidDel="00000000" w:rsidR="00000000" w:rsidRPr="00000000">
        <w:rPr>
          <w:rFonts w:ascii="Verdana" w:cs="Verdana" w:eastAsia="Verdana" w:hAnsi="Verdana"/>
          <w:rtl w:val="0"/>
        </w:rPr>
        <w:t xml:space="preserve">, Jacob pediu a Antônio que o auxiliasse, adquirindo “algumas cotas” de maconha, enquanto ele fazia o mesmo.</w:t>
      </w:r>
    </w:p>
    <w:p w:rsidR="00000000" w:rsidDel="00000000" w:rsidP="00000000" w:rsidRDefault="00000000" w:rsidRPr="00000000" w14:paraId="00000072">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Não me peça uma coisa dessas, Deputado. Eu disse que viria apenas para acompanhá-lo. Comprar droga é algo que eu realmente não gostaria de fazer, vai contra os meus princípios.</w:t>
      </w:r>
    </w:p>
    <w:p w:rsidR="00000000" w:rsidDel="00000000" w:rsidP="00000000" w:rsidRDefault="00000000" w:rsidRPr="00000000" w14:paraId="00000073">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Era só isso que me faltava… Você vai chegar no Brasil e falar que veio só pra assistir as putinhas na vitrine de Amsterdam? Tenha santa paciência, Antônio. Viajamos mais de dez mil quilômetros pra você agora me deixar na mão!</w:t>
      </w:r>
    </w:p>
    <w:p w:rsidR="00000000" w:rsidDel="00000000" w:rsidP="00000000" w:rsidRDefault="00000000" w:rsidRPr="00000000" w14:paraId="00000074">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O chefe de gabinete viu a irritação nos olhos do patrão, mas não cedeu ao pedido, e voltou sozinho para o hotel. Estava preocupado em perder a função, mas queria voltar para casa “limpo”, sem qualquer vestígio de </w:t>
      </w:r>
      <w:r w:rsidDel="00000000" w:rsidR="00000000" w:rsidRPr="00000000">
        <w:rPr>
          <w:rFonts w:ascii="Verdana" w:cs="Verdana" w:eastAsia="Verdana" w:hAnsi="Verdana"/>
          <w:i w:val="1"/>
          <w:rtl w:val="0"/>
        </w:rPr>
        <w:t xml:space="preserve">cannabis</w:t>
      </w:r>
      <w:r w:rsidDel="00000000" w:rsidR="00000000" w:rsidRPr="00000000">
        <w:rPr>
          <w:rFonts w:ascii="Verdana" w:cs="Verdana" w:eastAsia="Verdana" w:hAnsi="Verdana"/>
          <w:rtl w:val="0"/>
        </w:rPr>
        <w:t xml:space="preserve">.</w:t>
      </w:r>
    </w:p>
    <w:p w:rsidR="00000000" w:rsidDel="00000000" w:rsidP="00000000" w:rsidRDefault="00000000" w:rsidRPr="00000000" w14:paraId="00000075">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Jacob estava determinado, contudo, e mesmo sem a ajuda do funcionário passou por oito </w:t>
      </w:r>
      <w:r w:rsidDel="00000000" w:rsidR="00000000" w:rsidRPr="00000000">
        <w:rPr>
          <w:rFonts w:ascii="Verdana" w:cs="Verdana" w:eastAsia="Verdana" w:hAnsi="Verdana"/>
          <w:i w:val="1"/>
          <w:rtl w:val="0"/>
        </w:rPr>
        <w:t xml:space="preserve">coffeeshops</w:t>
      </w:r>
      <w:r w:rsidDel="00000000" w:rsidR="00000000" w:rsidRPr="00000000">
        <w:rPr>
          <w:rFonts w:ascii="Verdana" w:cs="Verdana" w:eastAsia="Verdana" w:hAnsi="Verdana"/>
          <w:rtl w:val="0"/>
        </w:rPr>
        <w:t xml:space="preserve"> diferentes para comprar 80 baseados, totalizando 40g de maconha. A pé, e com os bolsos cheios, caminhou pelas ruas de Amsterdam registrando toda a jornada por meio de sua rede social. E, de volta ao quarto do hotel, dispôs os baseados adquiridos sobre a cama, apoiou o celular sobre a estante e começou a fazer uma </w:t>
      </w:r>
      <w:r w:rsidDel="00000000" w:rsidR="00000000" w:rsidRPr="00000000">
        <w:rPr>
          <w:rFonts w:ascii="Verdana" w:cs="Verdana" w:eastAsia="Verdana" w:hAnsi="Verdana"/>
          <w:i w:val="1"/>
          <w:rtl w:val="0"/>
        </w:rPr>
        <w:t xml:space="preserve">live</w:t>
      </w:r>
      <w:r w:rsidDel="00000000" w:rsidR="00000000" w:rsidRPr="00000000">
        <w:rPr>
          <w:rFonts w:ascii="Verdana" w:cs="Verdana" w:eastAsia="Verdana" w:hAnsi="Verdana"/>
          <w:rtl w:val="0"/>
        </w:rPr>
        <w:t xml:space="preserve"> pelo Instagram.</w:t>
      </w:r>
    </w:p>
    <w:p w:rsidR="00000000" w:rsidDel="00000000" w:rsidP="00000000" w:rsidRDefault="00000000" w:rsidRPr="00000000" w14:paraId="00000076">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Olha aqui, gente. Deputado Jacob falando diretamente de Amsterdam, capital de um dos países com melhor qualidade de vida no mundo. Um país que respeita seus cidadãos em todos os sentidos, cuidando da saúde e, principalmente, da dignidade de cada um deles. Vocês, que me conhecem, sabem que eu sempre defendi, e vou continuar defendendo, os usuários de drogas das injustiças que contra eles são cometidas. Neste ano nós tivemos uma vitória muito importante, quando o Supremo descriminalizou o porte de 40g de maconha. Nada mais justo. Mas eu pergunto: precisava disso?! Até chegarmos a essa decisão, quanta gente honesta foi presa, processada, e até cumpriu pena por uma coisa insignificante dessa? Aqui na Holanda eu posso, como fiz para mostrar a vocês, comprar essas 40g legalmente, e isso desde sempre — disse o Deputado, filmando em close os 80 baseados.</w:t>
      </w:r>
    </w:p>
    <w:p w:rsidR="00000000" w:rsidDel="00000000" w:rsidP="00000000" w:rsidRDefault="00000000" w:rsidRPr="00000000" w14:paraId="00000077">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Ao encerrar a transmissão, Jacob foi até o quarto de Antônio, e disse que já poderiam retornar ao Brasil. O chefe de gabinete, então, perguntou o que o patrão pretendia fazer com os baseados de maconha.</w:t>
      </w:r>
    </w:p>
    <w:p w:rsidR="00000000" w:rsidDel="00000000" w:rsidP="00000000" w:rsidRDefault="00000000" w:rsidRPr="00000000" w14:paraId="00000078">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 Vamos deixar isso pra trás, Antônio. Larga aí, que talvez alguma camareira faça bom proveito.</w:t>
      </w:r>
    </w:p>
    <w:p w:rsidR="00000000" w:rsidDel="00000000" w:rsidP="00000000" w:rsidRDefault="00000000" w:rsidRPr="00000000" w14:paraId="00000079">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Três horas depois, a polícia holandesa foi ao hotel em busca do Deputado. O gerente informou que ele e seu assessor já haviam deixado o local, franqueou a entrada dos agentes no quarto em que Jacob ficou hospedado, e lá encontraram os baseados.</w:t>
      </w:r>
    </w:p>
    <w:p w:rsidR="00000000" w:rsidDel="00000000" w:rsidP="00000000" w:rsidRDefault="00000000" w:rsidRPr="00000000" w14:paraId="0000007A">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Verificada a procedência da denúncia recebida, a polícia holandesa deslocou um grupo até o aeroporto de Schiphol, na tentativa de interceptar o parlamentar, mas já era tarde. O avião em que eles embarcaram já tinha decolado há cerca de 15 minutos.</w:t>
      </w:r>
    </w:p>
    <w:p w:rsidR="00000000" w:rsidDel="00000000" w:rsidP="00000000" w:rsidRDefault="00000000" w:rsidRPr="00000000" w14:paraId="0000007B">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Quando o voo da KLM chegou ao Brasil, a polícia federal já havia sido avisada a respeito dos atos praticados por Jacob em Amsterdam. No entanto, valendo-se do prestígio conferido pela Presidência da Câmara dos Deputados, o parlamentar deixou o aeroporto pela porta da frente, e, vaiado por um cidadão, o chamou de “filho da puta”.</w:t>
      </w:r>
    </w:p>
    <w:p w:rsidR="00000000" w:rsidDel="00000000" w:rsidP="00000000" w:rsidRDefault="00000000" w:rsidRPr="00000000" w14:paraId="0000007C">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Houve desgaste político, ameaças de pedido de cassação por quebra de decoro parlamentar e notícia de que o governo holandês havia requisitado a extradição pelo cometimento de crime em solo estrangeiro.</w:t>
      </w:r>
    </w:p>
    <w:p w:rsidR="00000000" w:rsidDel="00000000" w:rsidP="00000000" w:rsidRDefault="00000000" w:rsidRPr="00000000" w14:paraId="0000007D">
      <w:pPr>
        <w:spacing w:after="200" w:lineRule="auto"/>
        <w:ind w:firstLine="850"/>
        <w:rPr>
          <w:rFonts w:ascii="Verdana" w:cs="Verdana" w:eastAsia="Verdana" w:hAnsi="Verdana"/>
        </w:rPr>
      </w:pPr>
      <w:r w:rsidDel="00000000" w:rsidR="00000000" w:rsidRPr="00000000">
        <w:rPr>
          <w:rFonts w:ascii="Verdana" w:cs="Verdana" w:eastAsia="Verdana" w:hAnsi="Verdana"/>
          <w:rtl w:val="0"/>
        </w:rPr>
        <w:t xml:space="preserve">Jacob, então, decide procurar um escritório de advocacia para formular os seguintes questionamentos:</w:t>
      </w:r>
    </w:p>
    <w:p w:rsidR="00000000" w:rsidDel="00000000" w:rsidP="00000000" w:rsidRDefault="00000000" w:rsidRPr="00000000" w14:paraId="0000007E">
      <w:pPr>
        <w:numPr>
          <w:ilvl w:val="0"/>
          <w:numId w:val="3"/>
        </w:numPr>
        <w:spacing w:after="200" w:lineRule="auto"/>
        <w:ind w:left="1440" w:hanging="360"/>
        <w:rPr>
          <w:rFonts w:ascii="Verdana" w:cs="Verdana" w:eastAsia="Verdana" w:hAnsi="Verdana"/>
        </w:rPr>
      </w:pPr>
      <w:r w:rsidDel="00000000" w:rsidR="00000000" w:rsidRPr="00000000">
        <w:rPr>
          <w:rFonts w:ascii="Verdana" w:cs="Verdana" w:eastAsia="Verdana" w:hAnsi="Verdana"/>
          <w:rtl w:val="0"/>
        </w:rPr>
        <w:t xml:space="preserve">O consulente praticou crime na Holanda? Qual tese defensiva, prevista na legislação brasileira, pode ser usada na sua defesa em eventual ação penal?</w:t>
      </w:r>
    </w:p>
    <w:p w:rsidR="00000000" w:rsidDel="00000000" w:rsidP="00000000" w:rsidRDefault="00000000" w:rsidRPr="00000000" w14:paraId="0000007F">
      <w:pPr>
        <w:numPr>
          <w:ilvl w:val="0"/>
          <w:numId w:val="3"/>
        </w:numPr>
        <w:spacing w:after="200" w:lineRule="auto"/>
        <w:ind w:left="1440" w:hanging="360"/>
        <w:rPr>
          <w:rFonts w:ascii="Verdana" w:cs="Verdana" w:eastAsia="Verdana" w:hAnsi="Verdana"/>
        </w:rPr>
      </w:pPr>
      <w:r w:rsidDel="00000000" w:rsidR="00000000" w:rsidRPr="00000000">
        <w:rPr>
          <w:rFonts w:ascii="Verdana" w:cs="Verdana" w:eastAsia="Verdana" w:hAnsi="Verdana"/>
          <w:rtl w:val="0"/>
        </w:rPr>
        <w:t xml:space="preserve">O pedido de extradição pode ser aceito pelo governo brasileiro? Quais argumentos endossam essa conclusão?</w:t>
      </w:r>
    </w:p>
    <w:p w:rsidR="00000000" w:rsidDel="00000000" w:rsidP="00000000" w:rsidRDefault="00000000" w:rsidRPr="00000000" w14:paraId="00000080">
      <w:pPr>
        <w:numPr>
          <w:ilvl w:val="0"/>
          <w:numId w:val="3"/>
        </w:numPr>
        <w:spacing w:after="200" w:lineRule="auto"/>
        <w:ind w:left="1440" w:hanging="360"/>
        <w:rPr>
          <w:rFonts w:ascii="Verdana" w:cs="Verdana" w:eastAsia="Verdana" w:hAnsi="Verdana"/>
        </w:rPr>
      </w:pPr>
      <w:r w:rsidDel="00000000" w:rsidR="00000000" w:rsidRPr="00000000">
        <w:rPr>
          <w:rFonts w:ascii="Verdana" w:cs="Verdana" w:eastAsia="Verdana" w:hAnsi="Verdana"/>
          <w:rtl w:val="0"/>
        </w:rPr>
        <w:t xml:space="preserve">O consulente manterá seus direitos políticos se renunciar ao mandato de Deputado Federal?</w:t>
      </w:r>
    </w:p>
    <w:p w:rsidR="00000000" w:rsidDel="00000000" w:rsidP="00000000" w:rsidRDefault="00000000" w:rsidRPr="00000000" w14:paraId="00000081">
      <w:pPr>
        <w:numPr>
          <w:ilvl w:val="0"/>
          <w:numId w:val="3"/>
        </w:numPr>
        <w:spacing w:after="200" w:lineRule="auto"/>
        <w:ind w:left="1440" w:hanging="360"/>
        <w:rPr>
          <w:rFonts w:ascii="Verdana" w:cs="Verdana" w:eastAsia="Verdana" w:hAnsi="Verdana"/>
        </w:rPr>
      </w:pPr>
      <w:r w:rsidDel="00000000" w:rsidR="00000000" w:rsidRPr="00000000">
        <w:rPr>
          <w:rFonts w:ascii="Verdana" w:cs="Verdana" w:eastAsia="Verdana" w:hAnsi="Verdana"/>
          <w:rtl w:val="0"/>
        </w:rPr>
        <w:t xml:space="preserve">O consulente manterá seus direitos políticos se sofrer uma condenação criminal por injúria contra o cidadão que o vaiou? </w:t>
      </w:r>
    </w:p>
    <w:p w:rsidR="00000000" w:rsidDel="00000000" w:rsidP="00000000" w:rsidRDefault="00000000" w:rsidRPr="00000000" w14:paraId="00000082">
      <w:pPr>
        <w:spacing w:after="200" w:lineRule="auto"/>
        <w:ind w:firstLine="850"/>
        <w:rPr>
          <w:rFonts w:ascii="Verdana" w:cs="Verdana" w:eastAsia="Verdana" w:hAnsi="Verdana"/>
        </w:rPr>
        <w:sectPr>
          <w:headerReference r:id="rId15" w:type="default"/>
          <w:footerReference r:id="rId16" w:type="default"/>
          <w:footerReference r:id="rId17"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rtl w:val="0"/>
        </w:rPr>
        <w:t xml:space="preserve">Na condição de advogados de Jacob, formulem um parecer jurídico que responda aos questionamentos apresentados de maneira fundamentada.</w:t>
      </w:r>
    </w:p>
    <w:p w:rsidR="00000000" w:rsidDel="00000000" w:rsidP="00000000" w:rsidRDefault="00000000" w:rsidRPr="00000000" w14:paraId="00000083">
      <w:pPr>
        <w:spacing w:line="240" w:lineRule="auto"/>
        <w:ind w:firstLine="0"/>
        <w:rPr>
          <w:b w:val="1"/>
          <w:sz w:val="36"/>
          <w:szCs w:val="36"/>
        </w:rPr>
      </w:pPr>
      <w:r w:rsidDel="00000000" w:rsidR="00000000" w:rsidRPr="00000000">
        <w:rPr>
          <w:b w:val="1"/>
          <w:sz w:val="36"/>
          <w:szCs w:val="36"/>
          <w:rtl w:val="0"/>
        </w:rPr>
        <w:t xml:space="preserve">PARECER</w:t>
      </w:r>
    </w:p>
    <w:p w:rsidR="00000000" w:rsidDel="00000000" w:rsidP="00000000" w:rsidRDefault="00000000" w:rsidRPr="00000000" w14:paraId="00000084">
      <w:pPr>
        <w:pBdr>
          <w:bottom w:color="000000" w:space="1" w:sz="12" w:val="single"/>
        </w:pBdr>
        <w:tabs>
          <w:tab w:val="center" w:leader="none" w:pos="4252"/>
          <w:tab w:val="right" w:leader="none" w:pos="8504"/>
        </w:tabs>
        <w:spacing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85">
      <w:pPr>
        <w:spacing w:after="200" w:lineRule="auto"/>
        <w:rPr>
          <w:rFonts w:ascii="Verdana" w:cs="Verdana" w:eastAsia="Verdana" w:hAnsi="Verdana"/>
        </w:rPr>
      </w:pPr>
      <w:r w:rsidDel="00000000" w:rsidR="00000000" w:rsidRPr="00000000">
        <w:rPr>
          <w:rtl w:val="0"/>
        </w:rPr>
      </w:r>
    </w:p>
    <w:p w:rsidR="00000000" w:rsidDel="00000000" w:rsidP="00000000" w:rsidRDefault="00000000" w:rsidRPr="00000000" w14:paraId="00000086">
      <w:pPr>
        <w:ind w:firstLine="709"/>
        <w:rPr>
          <w:highlight w:val="yellow"/>
        </w:rPr>
      </w:pPr>
      <w:r w:rsidDel="00000000" w:rsidR="00000000" w:rsidRPr="00000000">
        <w:rPr>
          <w:b w:val="1"/>
          <w:rtl w:val="0"/>
        </w:rPr>
        <w:t xml:space="preserve">Assunto: </w:t>
      </w:r>
      <w:r w:rsidDel="00000000" w:rsidR="00000000" w:rsidRPr="00000000">
        <w:rPr>
          <w:rtl w:val="0"/>
        </w:rPr>
        <w:t xml:space="preserve">Erro de proibição como tese defensiva brasileira para crime praticado na Holanda. Não cometimento de infração penal quando do porte de canabis sativa para uso pessoal na quantidade máxima de 40g. Proibição da extradição de brasileiros natos. Perda de direitos políticos em razão da renúncia ao mandato. Perda de direitos políticos em razão de condenação criminal pela prática de injúria.</w:t>
      </w:r>
      <w:r w:rsidDel="00000000" w:rsidR="00000000" w:rsidRPr="00000000">
        <w:rPr>
          <w:rtl w:val="0"/>
        </w:rPr>
      </w:r>
    </w:p>
    <w:p w:rsidR="00000000" w:rsidDel="00000000" w:rsidP="00000000" w:rsidRDefault="00000000" w:rsidRPr="00000000" w14:paraId="00000087">
      <w:pPr>
        <w:ind w:firstLine="709"/>
        <w:rPr/>
      </w:pPr>
      <w:r w:rsidDel="00000000" w:rsidR="00000000" w:rsidRPr="00000000">
        <w:rPr>
          <w:rtl w:val="0"/>
        </w:rPr>
      </w:r>
    </w:p>
    <w:p w:rsidR="00000000" w:rsidDel="00000000" w:rsidP="00000000" w:rsidRDefault="00000000" w:rsidRPr="00000000" w14:paraId="00000088">
      <w:pPr>
        <w:rPr/>
      </w:pPr>
      <w:r w:rsidDel="00000000" w:rsidR="00000000" w:rsidRPr="00000000">
        <w:rPr>
          <w:b w:val="1"/>
          <w:rtl w:val="0"/>
        </w:rPr>
        <w:t xml:space="preserve">Consulente:</w:t>
      </w:r>
      <w:r w:rsidDel="00000000" w:rsidR="00000000" w:rsidRPr="00000000">
        <w:rPr>
          <w:rtl w:val="0"/>
        </w:rPr>
        <w:t xml:space="preserve"> Jacob.</w:t>
      </w:r>
    </w:p>
    <w:p w:rsidR="00000000" w:rsidDel="00000000" w:rsidP="00000000" w:rsidRDefault="00000000" w:rsidRPr="00000000" w14:paraId="00000089">
      <w:pPr>
        <w:ind w:firstLine="709"/>
        <w:rPr/>
      </w:pPr>
      <w:r w:rsidDel="00000000" w:rsidR="00000000" w:rsidRPr="00000000">
        <w:rPr>
          <w:rtl w:val="0"/>
        </w:rPr>
      </w:r>
    </w:p>
    <w:p w:rsidR="00000000" w:rsidDel="00000000" w:rsidP="00000000" w:rsidRDefault="00000000" w:rsidRPr="00000000" w14:paraId="0000008A">
      <w:pPr>
        <w:ind w:firstLine="709"/>
        <w:rPr/>
      </w:pPr>
      <w:r w:rsidDel="00000000" w:rsidR="00000000" w:rsidRPr="00000000">
        <w:rPr>
          <w:b w:val="1"/>
          <w:rtl w:val="0"/>
        </w:rPr>
        <w:t xml:space="preserve">EMENTA:</w:t>
      </w:r>
      <w:r w:rsidDel="00000000" w:rsidR="00000000" w:rsidRPr="00000000">
        <w:rPr>
          <w:rtl w:val="0"/>
        </w:rPr>
        <w:t xml:space="preserve"> DIREITO PENAL. RECONHECIMENTO DO CRIME. TEORIA BIPARTIDA. ERRO SOBRE A ILICITUDE DO FATO. ERRO DE PROIBIÇÃO.  LEI DE MIGRAÇÃO. DESCRIMINALIZAÇÃO DA CANNABIS. DIREITO CONSTITUCIONAL. DIREITO INTERNACIONAL PÚBLICO. EXTRADIÇÃO DE BRASILEIRO NATO. DA NACIONALIDADE. DOS BRASILEIROS NATOS. PRINCÍPIO DA DUPLA INDENTIDADE. DOS DEPUTADOS. PERDA OU SUSPENSÃO DOS DIREITOS POLÍTICOS. IMUNIDADE PARLAMENTAR. RENÚNCIA DO MANDATO. PRÁTICA DE INJÚRIA.</w:t>
      </w:r>
    </w:p>
    <w:p w:rsidR="00000000" w:rsidDel="00000000" w:rsidP="00000000" w:rsidRDefault="00000000" w:rsidRPr="00000000" w14:paraId="0000008B">
      <w:pPr>
        <w:ind w:firstLine="709"/>
        <w:rPr/>
      </w:pPr>
      <w:r w:rsidDel="00000000" w:rsidR="00000000" w:rsidRPr="00000000">
        <w:rPr>
          <w:rtl w:val="0"/>
        </w:rPr>
      </w:r>
    </w:p>
    <w:p w:rsidR="00000000" w:rsidDel="00000000" w:rsidP="00000000" w:rsidRDefault="00000000" w:rsidRPr="00000000" w14:paraId="0000008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Arial" w:cs="Arial" w:eastAsia="Arial" w:hAnsi="Arial"/>
          <w:b w:val="1"/>
          <w:i w:val="0"/>
          <w:smallCaps w:val="0"/>
          <w:strike w:val="0"/>
          <w:color w:val="000000"/>
          <w:sz w:val="32"/>
          <w:szCs w:val="32"/>
          <w:u w:val="none"/>
          <w:shd w:fill="auto" w:val="clear"/>
          <w:vertAlign w:val="baseline"/>
        </w:rPr>
      </w:pPr>
      <w:r w:rsidDel="00000000" w:rsidR="00000000" w:rsidRPr="00000000">
        <w:rPr>
          <w:rFonts w:ascii="Arial" w:cs="Arial" w:eastAsia="Arial" w:hAnsi="Arial"/>
          <w:b w:val="1"/>
          <w:i w:val="0"/>
          <w:smallCaps w:val="0"/>
          <w:strike w:val="0"/>
          <w:color w:val="000000"/>
          <w:sz w:val="32"/>
          <w:szCs w:val="32"/>
          <w:u w:val="none"/>
          <w:shd w:fill="auto" w:val="clear"/>
          <w:vertAlign w:val="baseline"/>
          <w:rtl w:val="0"/>
        </w:rPr>
        <w:t xml:space="preserve">RELATÓRIO</w:t>
      </w:r>
    </w:p>
    <w:p w:rsidR="00000000" w:rsidDel="00000000" w:rsidP="00000000" w:rsidRDefault="00000000" w:rsidRPr="00000000" w14:paraId="0000008D">
      <w:pPr>
        <w:rPr/>
      </w:pPr>
      <w:r w:rsidDel="00000000" w:rsidR="00000000" w:rsidRPr="00000000">
        <w:rPr>
          <w:rtl w:val="0"/>
        </w:rPr>
        <w:t xml:space="preserve">O presente parecer trata do envolvimento do Deputado Federal Jacob, conhecido como defensor do combate à repressão policial sobre usuários de entorpecentes e organizador de manifestações, em uma viagem a Amsterdam, na Holanda. O objetivo da viagem foi divulgar sua visão sobre a política de descriminalização de drogas adotada no país, que permite o porte de até 30 gramas de maconha para uso pessoal. Entretanto, a comercialização de maconha é restrita aos "coffeeshops", estabelecimentos autorizados, onde a venda por pessoa é limitada a 5 gramas, dentre outras regras restritivas.</w:t>
      </w:r>
    </w:p>
    <w:p w:rsidR="00000000" w:rsidDel="00000000" w:rsidP="00000000" w:rsidRDefault="00000000" w:rsidRPr="00000000" w14:paraId="0000008E">
      <w:pPr>
        <w:rPr/>
      </w:pPr>
      <w:r w:rsidDel="00000000" w:rsidR="00000000" w:rsidRPr="00000000">
        <w:rPr>
          <w:rtl w:val="0"/>
        </w:rPr>
        <w:t xml:space="preserve">Sem o conhecimento adequado das leis holandesas, o Deputado Jacob adquiriu 40 gramas de maconha, o que excedeu em 10 gramas o permitido por pessoa no país. No total, ele conseguiu 80 baseados. Mesmo diante deste cenário, Jacob prosseguiu com seu objetivo de comparar as políticas de drogas dos dois países, realizando uma transmissão ao vivo nas redes sociais, em que comparou a política holandesa com o recente julgamento do Supremo Tribunal Federal (STF) que descriminalizou o porte de maconha para uso pessoal no Brasil.</w:t>
      </w:r>
    </w:p>
    <w:p w:rsidR="00000000" w:rsidDel="00000000" w:rsidP="00000000" w:rsidRDefault="00000000" w:rsidRPr="00000000" w14:paraId="0000008F">
      <w:pPr>
        <w:rPr/>
      </w:pPr>
      <w:r w:rsidDel="00000000" w:rsidR="00000000" w:rsidRPr="00000000">
        <w:rPr>
          <w:rtl w:val="0"/>
        </w:rPr>
        <w:t xml:space="preserve">Após encerrar a transmissão em suas redes sociais, o Deputado deixou os cigarros de maconha sobre a cama do hotel e retornou ao Brasil. Posteriormente, a polícia holandesa encontrou os entorpecentes e tentou interceptá-lo no aeroporto de Schiphol, porém Jacob já havia embarcado para retornar ao seu país. A polícia holandesa notificou a Polícia Federal brasileira, mas, devido à sua posição como Presidente da Câmara dos Deputados, Jacob deixou o aeroporto no Brasil sem qualquer abordagem, pela porta da frente. Nesta ocasião, proferiu palavras de baixo calão contra um cidadão em resposta a uma vaia.</w:t>
      </w:r>
    </w:p>
    <w:p w:rsidR="00000000" w:rsidDel="00000000" w:rsidP="00000000" w:rsidRDefault="00000000" w:rsidRPr="00000000" w14:paraId="00000090">
      <w:pPr>
        <w:rPr/>
      </w:pPr>
      <w:r w:rsidDel="00000000" w:rsidR="00000000" w:rsidRPr="00000000">
        <w:rPr>
          <w:rtl w:val="0"/>
        </w:rPr>
        <w:t xml:space="preserve">Diante dos acontecimentos, o Deputado passou a enfrentar ameaças de cassação de mandato por quebra de decoro parlamentar, além de um pedido de extradição emitido pelo governo holandês.</w:t>
      </w:r>
    </w:p>
    <w:p w:rsidR="00000000" w:rsidDel="00000000" w:rsidP="00000000" w:rsidRDefault="00000000" w:rsidRPr="00000000" w14:paraId="00000091">
      <w:pPr>
        <w:rPr>
          <w:b w:val="1"/>
        </w:rPr>
      </w:pPr>
      <w:r w:rsidDel="00000000" w:rsidR="00000000" w:rsidRPr="00000000">
        <w:rPr>
          <w:b w:val="1"/>
          <w:rtl w:val="0"/>
        </w:rPr>
        <w:t xml:space="preserve">É o relatório.</w:t>
      </w:r>
    </w:p>
    <w:p w:rsidR="00000000" w:rsidDel="00000000" w:rsidP="00000000" w:rsidRDefault="00000000" w:rsidRPr="00000000" w14:paraId="00000092">
      <w:pPr>
        <w:ind w:firstLine="709"/>
        <w:rPr/>
      </w:pPr>
      <w:r w:rsidDel="00000000" w:rsidR="00000000" w:rsidRPr="00000000">
        <w:rPr>
          <w:rtl w:val="0"/>
        </w:rPr>
      </w:r>
    </w:p>
    <w:p w:rsidR="00000000" w:rsidDel="00000000" w:rsidP="00000000" w:rsidRDefault="00000000" w:rsidRPr="00000000" w14:paraId="0000009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360" w:right="0" w:hanging="360"/>
        <w:jc w:val="both"/>
        <w:rPr>
          <w:rFonts w:ascii="Arial" w:cs="Arial" w:eastAsia="Arial" w:hAnsi="Arial"/>
          <w:b w:val="1"/>
          <w:i w:val="0"/>
          <w:smallCaps w:val="0"/>
          <w:strike w:val="0"/>
          <w:color w:val="000000"/>
          <w:sz w:val="32"/>
          <w:szCs w:val="32"/>
          <w:u w:val="none"/>
          <w:shd w:fill="auto" w:val="clear"/>
          <w:vertAlign w:val="baseline"/>
        </w:rPr>
      </w:pPr>
      <w:r w:rsidDel="00000000" w:rsidR="00000000" w:rsidRPr="00000000">
        <w:rPr>
          <w:rFonts w:ascii="Arial" w:cs="Arial" w:eastAsia="Arial" w:hAnsi="Arial"/>
          <w:b w:val="1"/>
          <w:i w:val="0"/>
          <w:smallCaps w:val="0"/>
          <w:strike w:val="0"/>
          <w:color w:val="000000"/>
          <w:sz w:val="32"/>
          <w:szCs w:val="32"/>
          <w:u w:val="none"/>
          <w:shd w:fill="auto" w:val="clear"/>
          <w:vertAlign w:val="baseline"/>
          <w:rtl w:val="0"/>
        </w:rPr>
        <w:t xml:space="preserve">FUNDAMENTAÇÃO</w:t>
      </w:r>
    </w:p>
    <w:p w:rsidR="00000000" w:rsidDel="00000000" w:rsidP="00000000" w:rsidRDefault="00000000" w:rsidRPr="00000000" w14:paraId="00000094">
      <w:pPr>
        <w:spacing w:after="200" w:lineRule="auto"/>
        <w:ind w:firstLine="0"/>
        <w:rPr>
          <w:b w:val="1"/>
          <w:sz w:val="28"/>
          <w:szCs w:val="28"/>
        </w:rPr>
      </w:pPr>
      <w:r w:rsidDel="00000000" w:rsidR="00000000" w:rsidRPr="00000000">
        <w:rPr>
          <w:b w:val="1"/>
          <w:sz w:val="28"/>
          <w:szCs w:val="28"/>
          <w:rtl w:val="0"/>
        </w:rPr>
        <w:t xml:space="preserve">2.1. DAS TESES DEFENSIVAS</w:t>
      </w:r>
    </w:p>
    <w:p w:rsidR="00000000" w:rsidDel="00000000" w:rsidP="00000000" w:rsidRDefault="00000000" w:rsidRPr="00000000" w14:paraId="00000095">
      <w:pPr>
        <w:rPr/>
      </w:pPr>
      <w:r w:rsidDel="00000000" w:rsidR="00000000" w:rsidRPr="00000000">
        <w:rPr>
          <w:rtl w:val="0"/>
        </w:rPr>
        <w:t xml:space="preserve">Inicialmente, questiona o consulente se houve a prática de crime na Holanda e qual tese defensiva brasileira pode ser utilizada para a defesa de seu caso.</w:t>
      </w:r>
    </w:p>
    <w:p w:rsidR="00000000" w:rsidDel="00000000" w:rsidP="00000000" w:rsidRDefault="00000000" w:rsidRPr="00000000" w14:paraId="00000096">
      <w:pPr>
        <w:rPr>
          <w:rFonts w:ascii="Verdana" w:cs="Verdana" w:eastAsia="Verdana" w:hAnsi="Verdana"/>
        </w:rPr>
      </w:pPr>
      <w:r w:rsidDel="00000000" w:rsidR="00000000" w:rsidRPr="00000000">
        <w:rPr>
          <w:rtl w:val="0"/>
        </w:rPr>
        <w:t xml:space="preserve">Devido ao fato de o consulente estar na Holanda, é necessário seguir as leis do país em que a pessoa se encontra. Assim, o Deputado Federal de fato seria criminalmente punido na Holanda, pois, segundo sua legislação, portar mais de 30 gramas da cannabis é criminalizado, não dispondo livremente da quantidade (JusBrasil, 2015?). </w:t>
      </w:r>
      <w:r w:rsidDel="00000000" w:rsidR="00000000" w:rsidRPr="00000000">
        <w:rPr>
          <w:rtl w:val="0"/>
        </w:rPr>
      </w:r>
    </w:p>
    <w:p w:rsidR="00000000" w:rsidDel="00000000" w:rsidP="00000000" w:rsidRDefault="00000000" w:rsidRPr="00000000" w14:paraId="00000097">
      <w:pPr>
        <w:rPr/>
      </w:pPr>
      <w:bookmarkStart w:colFirst="0" w:colLast="0" w:name="_heading=h.gjdgxs" w:id="0"/>
      <w:bookmarkEnd w:id="0"/>
      <w:r w:rsidDel="00000000" w:rsidR="00000000" w:rsidRPr="00000000">
        <w:rPr>
          <w:rtl w:val="0"/>
        </w:rPr>
        <w:t xml:space="preserve">Outrossim, o Deputado Federal publicou um vídeo nas suas redes sociais onde exibia 40 gramas de maconha, totalizando 80 porções de cigarro, excedendo em 10 gramas do permitido no Estado da Holanda. Ademais, é imprescindível salientar que a descriminalização para o porte pessoal da maconha não significa liberdade para portar mais do que a quantidade estipulada. </w:t>
      </w:r>
    </w:p>
    <w:p w:rsidR="00000000" w:rsidDel="00000000" w:rsidP="00000000" w:rsidRDefault="00000000" w:rsidRPr="00000000" w14:paraId="00000098">
      <w:pPr>
        <w:rPr/>
      </w:pPr>
      <w:r w:rsidDel="00000000" w:rsidR="00000000" w:rsidRPr="00000000">
        <w:rPr>
          <w:rtl w:val="0"/>
        </w:rPr>
        <w:t xml:space="preserve">Primeiramente é preciso ressaltar que no Brasil é adotada a teoria bipartida. Segundo essa teoria, crime é fato típico e antijurídico. Assim, é necessário que o fato seja típico (contrário a lei) e antijurídico (conduta contrária à ordem jurídica), sendo a culpabilidade analisada apenas para o cabimento de aplicação da pena, como destaca o doutrinador Cleber Masson (2024, p. 168):</w:t>
      </w:r>
    </w:p>
    <w:p w:rsidR="00000000" w:rsidDel="00000000" w:rsidP="00000000" w:rsidRDefault="00000000" w:rsidRPr="00000000" w14:paraId="00000099">
      <w:pPr>
        <w:spacing w:line="240" w:lineRule="auto"/>
        <w:ind w:left="2268" w:firstLine="0"/>
        <w:rPr>
          <w:sz w:val="20"/>
          <w:szCs w:val="20"/>
        </w:rPr>
      </w:pPr>
      <w:r w:rsidDel="00000000" w:rsidR="00000000" w:rsidRPr="00000000">
        <w:rPr>
          <w:sz w:val="20"/>
          <w:szCs w:val="20"/>
          <w:rtl w:val="0"/>
        </w:rPr>
        <w:t xml:space="preserve">Para os seguidores dessa teoria bipartida, a culpabilidade deve ser excluída da composição do crime, uma vez que se trata de pressuposto de aplicação da pena. Destarte, </w:t>
      </w:r>
      <w:r w:rsidDel="00000000" w:rsidR="00000000" w:rsidRPr="00000000">
        <w:rPr>
          <w:b w:val="1"/>
          <w:sz w:val="20"/>
          <w:szCs w:val="20"/>
          <w:rtl w:val="0"/>
        </w:rPr>
        <w:t xml:space="preserve">para a configuração do delito bastam o fato típico e a licitude, ao passo que a presença ou não da culpabilidade importará na possibilidade ou não de a pena ser imposta.</w:t>
      </w:r>
      <w:r w:rsidDel="00000000" w:rsidR="00000000" w:rsidRPr="00000000">
        <w:rPr>
          <w:sz w:val="20"/>
          <w:szCs w:val="20"/>
          <w:rtl w:val="0"/>
        </w:rPr>
        <w:t xml:space="preserve"> [...] Todavia, ao se adotar a teoria bipartida do crime, necessariamente será aceito o conceito finalista de conduta. (Grifo nosso)</w:t>
      </w:r>
    </w:p>
    <w:p w:rsidR="00000000" w:rsidDel="00000000" w:rsidP="00000000" w:rsidRDefault="00000000" w:rsidRPr="00000000" w14:paraId="0000009A">
      <w:pPr>
        <w:ind w:left="2268" w:firstLine="720"/>
        <w:rPr/>
      </w:pPr>
      <w:r w:rsidDel="00000000" w:rsidR="00000000" w:rsidRPr="00000000">
        <w:rPr>
          <w:rtl w:val="0"/>
        </w:rPr>
      </w:r>
    </w:p>
    <w:p w:rsidR="00000000" w:rsidDel="00000000" w:rsidP="00000000" w:rsidRDefault="00000000" w:rsidRPr="00000000" w14:paraId="0000009B">
      <w:pPr>
        <w:rPr/>
      </w:pPr>
      <w:r w:rsidDel="00000000" w:rsidR="00000000" w:rsidRPr="00000000">
        <w:rPr>
          <w:rtl w:val="0"/>
        </w:rPr>
        <w:t xml:space="preserve">Desse modo, cabe discutir seguindo as diretrizes utilizadas no Brasil para tese de defesa, definindo se o Deputado Federal cometeu uma conduta que se enquadra como crime.</w:t>
      </w:r>
    </w:p>
    <w:p w:rsidR="00000000" w:rsidDel="00000000" w:rsidP="00000000" w:rsidRDefault="00000000" w:rsidRPr="00000000" w14:paraId="0000009C">
      <w:pPr>
        <w:rPr/>
      </w:pPr>
      <w:r w:rsidDel="00000000" w:rsidR="00000000" w:rsidRPr="00000000">
        <w:rPr>
          <w:rtl w:val="0"/>
        </w:rPr>
        <w:t xml:space="preserve">De segunda instância, precisa-se desentranhar a Teoria Bipartida, passando a analisar o fato típico e a antijuridicidade. O fato típico se configura por uma ação humana que condiz perfeitamente aos elementos descritos pelo tipo penal e a antijuridicidade, também conhecida como ilicitude, é a contrariedade entre o fato típico que um agente cometeu e o ordenamento jurídico, sendo capaz de lesionar bens juridicamente protegidos e penalmente tutelados. Concluindo que o juízo de ilicitude é posterior e dependente da tipicidade, de maneira que todo fato penalmente ilícito é típico. (Cleber Masson, 2024)</w:t>
      </w:r>
    </w:p>
    <w:p w:rsidR="00000000" w:rsidDel="00000000" w:rsidP="00000000" w:rsidRDefault="00000000" w:rsidRPr="00000000" w14:paraId="0000009D">
      <w:pPr>
        <w:rPr/>
      </w:pPr>
      <w:r w:rsidDel="00000000" w:rsidR="00000000" w:rsidRPr="00000000">
        <w:rPr>
          <w:rtl w:val="0"/>
        </w:rPr>
        <w:t xml:space="preserve">Todavia, o Deputado Federal Jacob não praticou crime, porque segundo Teoria Bipartida, seu ato não foi típico e nem ilícito, dado a circunstância da descriminalização da maconha para uso pessoal de até 40 gramas, conforme será tratado em tópico posterior.</w:t>
      </w:r>
    </w:p>
    <w:p w:rsidR="00000000" w:rsidDel="00000000" w:rsidP="00000000" w:rsidRDefault="00000000" w:rsidRPr="00000000" w14:paraId="0000009E">
      <w:pPr>
        <w:rPr>
          <w:rFonts w:ascii="Verdana" w:cs="Verdana" w:eastAsia="Verdana" w:hAnsi="Verdana"/>
        </w:rPr>
      </w:pPr>
      <w:r w:rsidDel="00000000" w:rsidR="00000000" w:rsidRPr="00000000">
        <w:rPr>
          <w:rtl w:val="0"/>
        </w:rPr>
        <w:t xml:space="preserve">Ademais, outra tese de defesa seria alegar que o deputado agiu mediante erro de proibição, que nada mais é do que a falta de consciência de que o fato era ilícito no momento de sua ação. Ao portar 40 gramas de </w:t>
      </w:r>
      <w:r w:rsidDel="00000000" w:rsidR="00000000" w:rsidRPr="00000000">
        <w:rPr>
          <w:i w:val="1"/>
          <w:rtl w:val="0"/>
        </w:rPr>
        <w:t xml:space="preserve">cannabis</w:t>
      </w:r>
      <w:r w:rsidDel="00000000" w:rsidR="00000000" w:rsidRPr="00000000">
        <w:rPr>
          <w:rtl w:val="0"/>
        </w:rPr>
        <w:t xml:space="preserve">, cuja descriminalização para porte pessoal foi estabelecida no Brasil, ele presumiu, por erro, que tal conduta seria lícita noutro país que também descriminalizava uma certa quantidade, agindo, assim, de forma equivocada em relação ao que é permitido ou não. Nesse sentido, como mencionado pelo doutrinador Cezar Roberto Bitencourt (2013, p. 152), destaca-se que: </w:t>
      </w:r>
      <w:r w:rsidDel="00000000" w:rsidR="00000000" w:rsidRPr="00000000">
        <w:rPr>
          <w:rtl w:val="0"/>
        </w:rPr>
      </w:r>
    </w:p>
    <w:p w:rsidR="00000000" w:rsidDel="00000000" w:rsidP="00000000" w:rsidRDefault="00000000" w:rsidRPr="00000000" w14:paraId="0000009F">
      <w:pPr>
        <w:spacing w:line="240" w:lineRule="auto"/>
        <w:ind w:left="2268" w:firstLine="0"/>
        <w:rPr>
          <w:sz w:val="20"/>
          <w:szCs w:val="20"/>
        </w:rPr>
      </w:pPr>
      <w:r w:rsidDel="00000000" w:rsidR="00000000" w:rsidRPr="00000000">
        <w:rPr>
          <w:b w:val="1"/>
          <w:sz w:val="20"/>
          <w:szCs w:val="20"/>
          <w:rtl w:val="0"/>
        </w:rPr>
        <w:t xml:space="preserve">Erro de proibição</w:t>
      </w:r>
      <w:r w:rsidDel="00000000" w:rsidR="00000000" w:rsidRPr="00000000">
        <w:rPr>
          <w:sz w:val="20"/>
          <w:szCs w:val="20"/>
          <w:rtl w:val="0"/>
        </w:rPr>
        <w:t xml:space="preserve">, por sua vez, é o que incide sobre a ilicitude de um comportamento. </w:t>
      </w:r>
      <w:r w:rsidDel="00000000" w:rsidR="00000000" w:rsidRPr="00000000">
        <w:rPr>
          <w:b w:val="1"/>
          <w:sz w:val="20"/>
          <w:szCs w:val="20"/>
          <w:rtl w:val="0"/>
        </w:rPr>
        <w:t xml:space="preserve">O agente supõe, por erro, ser lícita a sua conduta</w:t>
      </w:r>
      <w:r w:rsidDel="00000000" w:rsidR="00000000" w:rsidRPr="00000000">
        <w:rPr>
          <w:sz w:val="20"/>
          <w:szCs w:val="20"/>
          <w:rtl w:val="0"/>
        </w:rPr>
        <w:t xml:space="preserve">. O objeto do erro não é, pois, nem a lei, nem o fato, mas a ilicitude, isto é, a contrariedade do fato em relação à lei. O </w:t>
      </w:r>
      <w:r w:rsidDel="00000000" w:rsidR="00000000" w:rsidRPr="00000000">
        <w:rPr>
          <w:b w:val="1"/>
          <w:sz w:val="20"/>
          <w:szCs w:val="20"/>
          <w:rtl w:val="0"/>
        </w:rPr>
        <w:t xml:space="preserve">agente supõe permitida uma conduta proibida. Faz um juízo equivocado daquilo que lhe é permitido fazer em sociedade</w:t>
      </w:r>
      <w:r w:rsidDel="00000000" w:rsidR="00000000" w:rsidRPr="00000000">
        <w:rPr>
          <w:sz w:val="20"/>
          <w:szCs w:val="20"/>
          <w:rtl w:val="0"/>
        </w:rPr>
        <w:t xml:space="preserve">. (Grifo nosso)</w:t>
      </w:r>
    </w:p>
    <w:p w:rsidR="00000000" w:rsidDel="00000000" w:rsidP="00000000" w:rsidRDefault="00000000" w:rsidRPr="00000000" w14:paraId="000000A0">
      <w:pPr>
        <w:ind w:firstLine="709"/>
        <w:rPr/>
      </w:pPr>
      <w:r w:rsidDel="00000000" w:rsidR="00000000" w:rsidRPr="00000000">
        <w:rPr>
          <w:rtl w:val="0"/>
        </w:rPr>
        <w:t xml:space="preserve"> </w:t>
      </w:r>
    </w:p>
    <w:p w:rsidR="00000000" w:rsidDel="00000000" w:rsidP="00000000" w:rsidRDefault="00000000" w:rsidRPr="00000000" w14:paraId="000000A1">
      <w:pPr>
        <w:rPr/>
      </w:pPr>
      <w:r w:rsidDel="00000000" w:rsidR="00000000" w:rsidRPr="00000000">
        <w:rPr>
          <w:rtl w:val="0"/>
        </w:rPr>
        <w:t xml:space="preserve">Em um âmbito mais específico, pode-se salientar o erro de proibição direto, no qual o deputado se enganou a respeito da norma proibitiva que limitava o porte e consumo da cannabis em 30 gramas, desconhecendo a lei holandesa, errando em sua antijuridicidade como destaca os doutrinadores Gustavo Octaviano D. Junqueira e Maria Patrícia V. Figueiredo (2024, p.334):</w:t>
      </w:r>
    </w:p>
    <w:p w:rsidR="00000000" w:rsidDel="00000000" w:rsidP="00000000" w:rsidRDefault="00000000" w:rsidRPr="00000000" w14:paraId="000000A2">
      <w:pPr>
        <w:spacing w:line="240" w:lineRule="auto"/>
        <w:ind w:left="2268" w:firstLine="0"/>
        <w:rPr>
          <w:sz w:val="20"/>
          <w:szCs w:val="20"/>
        </w:rPr>
      </w:pPr>
      <w:r w:rsidDel="00000000" w:rsidR="00000000" w:rsidRPr="00000000">
        <w:rPr>
          <w:sz w:val="20"/>
          <w:szCs w:val="20"/>
          <w:rtl w:val="0"/>
        </w:rPr>
        <w:t xml:space="preserve">Não importa se o erro deriva de uma desconformidade da percepção do agente em relação aos aspectos fáticos ou jurídicos. O </w:t>
      </w:r>
      <w:r w:rsidDel="00000000" w:rsidR="00000000" w:rsidRPr="00000000">
        <w:rPr>
          <w:b w:val="1"/>
          <w:sz w:val="20"/>
          <w:szCs w:val="20"/>
          <w:rtl w:val="0"/>
        </w:rPr>
        <w:t xml:space="preserve">erro quanto à antijuridicidade</w:t>
      </w:r>
      <w:r w:rsidDel="00000000" w:rsidR="00000000" w:rsidRPr="00000000">
        <w:rPr>
          <w:sz w:val="20"/>
          <w:szCs w:val="20"/>
          <w:rtl w:val="0"/>
        </w:rPr>
        <w:t xml:space="preserve">, ou seja, quanto a ser ou não proibida a prática do fato típico (sem que, quanto aos elementos do tipo, haja qualquer equívoco), é </w:t>
      </w:r>
      <w:r w:rsidDel="00000000" w:rsidR="00000000" w:rsidRPr="00000000">
        <w:rPr>
          <w:b w:val="1"/>
          <w:sz w:val="20"/>
          <w:szCs w:val="20"/>
          <w:rtl w:val="0"/>
        </w:rPr>
        <w:t xml:space="preserve">sempre erro de proibição</w:t>
      </w:r>
      <w:r w:rsidDel="00000000" w:rsidR="00000000" w:rsidRPr="00000000">
        <w:rPr>
          <w:sz w:val="20"/>
          <w:szCs w:val="20"/>
          <w:rtl w:val="0"/>
        </w:rPr>
        <w:t xml:space="preserve">. (Grifo nosso)</w:t>
      </w:r>
    </w:p>
    <w:p w:rsidR="00000000" w:rsidDel="00000000" w:rsidP="00000000" w:rsidRDefault="00000000" w:rsidRPr="00000000" w14:paraId="000000A3">
      <w:pPr>
        <w:ind w:firstLine="709"/>
        <w:rPr/>
      </w:pPr>
      <w:r w:rsidDel="00000000" w:rsidR="00000000" w:rsidRPr="00000000">
        <w:rPr>
          <w:rtl w:val="0"/>
        </w:rPr>
      </w:r>
    </w:p>
    <w:p w:rsidR="00000000" w:rsidDel="00000000" w:rsidP="00000000" w:rsidRDefault="00000000" w:rsidRPr="00000000" w14:paraId="000000A4">
      <w:pPr>
        <w:rPr>
          <w:rFonts w:ascii="Verdana" w:cs="Verdana" w:eastAsia="Verdana" w:hAnsi="Verdana"/>
        </w:rPr>
      </w:pPr>
      <w:r w:rsidDel="00000000" w:rsidR="00000000" w:rsidRPr="00000000">
        <w:rPr>
          <w:rtl w:val="0"/>
        </w:rPr>
        <w:t xml:space="preserve"> Posto isso, ele praticou uma ação, desconhecendo a norma proibitiva deste determinado país. Como expresso por Cezar Roberto Bitencourt (2013, p.165):</w:t>
      </w:r>
      <w:r w:rsidDel="00000000" w:rsidR="00000000" w:rsidRPr="00000000">
        <w:rPr>
          <w:rtl w:val="0"/>
        </w:rPr>
      </w:r>
    </w:p>
    <w:p w:rsidR="00000000" w:rsidDel="00000000" w:rsidP="00000000" w:rsidRDefault="00000000" w:rsidRPr="00000000" w14:paraId="000000A5">
      <w:pPr>
        <w:spacing w:line="240" w:lineRule="auto"/>
        <w:ind w:left="2268" w:firstLine="0"/>
        <w:rPr>
          <w:sz w:val="20"/>
          <w:szCs w:val="20"/>
        </w:rPr>
      </w:pPr>
      <w:r w:rsidDel="00000000" w:rsidR="00000000" w:rsidRPr="00000000">
        <w:rPr>
          <w:sz w:val="20"/>
          <w:szCs w:val="20"/>
          <w:rtl w:val="0"/>
        </w:rPr>
        <w:t xml:space="preserve">No erro de proibição direto, o agente engana-se a respeito da norma proibitiva. Portanto, o crime que pratica é um </w:t>
      </w:r>
      <w:r w:rsidDel="00000000" w:rsidR="00000000" w:rsidRPr="00000000">
        <w:rPr>
          <w:b w:val="1"/>
          <w:sz w:val="20"/>
          <w:szCs w:val="20"/>
          <w:rtl w:val="0"/>
        </w:rPr>
        <w:t xml:space="preserve">crime de ação, comissivo, porque ou desconhece a norma proibitiva, ou a conhece mal</w:t>
      </w:r>
      <w:r w:rsidDel="00000000" w:rsidR="00000000" w:rsidRPr="00000000">
        <w:rPr>
          <w:sz w:val="20"/>
          <w:szCs w:val="20"/>
          <w:rtl w:val="0"/>
        </w:rPr>
        <w:t xml:space="preserve">. É indiferente, porque, afinal, tanto o erro como a ignorância da norma, para todos os efeitos, são “erro”. (Grifo nosso)</w:t>
      </w:r>
    </w:p>
    <w:p w:rsidR="00000000" w:rsidDel="00000000" w:rsidP="00000000" w:rsidRDefault="00000000" w:rsidRPr="00000000" w14:paraId="000000A6">
      <w:pPr>
        <w:ind w:firstLine="709"/>
        <w:rPr/>
      </w:pPr>
      <w:r w:rsidDel="00000000" w:rsidR="00000000" w:rsidRPr="00000000">
        <w:rPr>
          <w:rtl w:val="0"/>
        </w:rPr>
      </w:r>
    </w:p>
    <w:p w:rsidR="00000000" w:rsidDel="00000000" w:rsidP="00000000" w:rsidRDefault="00000000" w:rsidRPr="00000000" w14:paraId="000000A7">
      <w:pPr>
        <w:rPr>
          <w:rFonts w:ascii="Verdana" w:cs="Verdana" w:eastAsia="Verdana" w:hAnsi="Verdana"/>
        </w:rPr>
      </w:pPr>
      <w:bookmarkStart w:colFirst="0" w:colLast="0" w:name="_heading=h.30j0zll" w:id="1"/>
      <w:bookmarkEnd w:id="1"/>
      <w:r w:rsidDel="00000000" w:rsidR="00000000" w:rsidRPr="00000000">
        <w:rPr>
          <w:rtl w:val="0"/>
        </w:rPr>
        <w:t xml:space="preserve">Diante deste fator, é imprescindível considerar que esta tese argumenta que as 40 gramas de </w:t>
      </w:r>
      <w:r w:rsidDel="00000000" w:rsidR="00000000" w:rsidRPr="00000000">
        <w:rPr>
          <w:i w:val="1"/>
          <w:rtl w:val="0"/>
        </w:rPr>
        <w:t xml:space="preserve">cannabis</w:t>
      </w:r>
      <w:r w:rsidDel="00000000" w:rsidR="00000000" w:rsidRPr="00000000">
        <w:rPr>
          <w:rtl w:val="0"/>
        </w:rPr>
        <w:t xml:space="preserve"> destinavam-se ao consumo pessoal, como decidido pelo Supremo Tribunal de Justiça, no Recurso Extraordinário 635659, relator: Min. Gilmar Mendes, publicado em 27/09/2024, em São Paulo:</w:t>
      </w:r>
      <w:r w:rsidDel="00000000" w:rsidR="00000000" w:rsidRPr="00000000">
        <w:rPr>
          <w:rtl w:val="0"/>
        </w:rPr>
      </w:r>
    </w:p>
    <w:p w:rsidR="00000000" w:rsidDel="00000000" w:rsidP="00000000" w:rsidRDefault="00000000" w:rsidRPr="00000000" w14:paraId="000000A8">
      <w:pPr>
        <w:spacing w:line="240" w:lineRule="auto"/>
        <w:ind w:left="2268" w:firstLine="0"/>
        <w:rPr/>
      </w:pPr>
      <w:r w:rsidDel="00000000" w:rsidR="00000000" w:rsidRPr="00000000">
        <w:rPr>
          <w:color w:val="000000"/>
          <w:sz w:val="20"/>
          <w:szCs w:val="20"/>
          <w:rtl w:val="0"/>
        </w:rPr>
        <w:t xml:space="preserve">Recurso extraordinário com repercussão geral. </w:t>
      </w:r>
      <w:r w:rsidDel="00000000" w:rsidR="00000000" w:rsidRPr="00000000">
        <w:rPr>
          <w:b w:val="1"/>
          <w:color w:val="000000"/>
          <w:sz w:val="20"/>
          <w:szCs w:val="20"/>
          <w:rtl w:val="0"/>
        </w:rPr>
        <w:t xml:space="preserve">Porte de drogas para consumo pessoal</w:t>
      </w:r>
      <w:r w:rsidDel="00000000" w:rsidR="00000000" w:rsidRPr="00000000">
        <w:rPr>
          <w:color w:val="000000"/>
          <w:sz w:val="20"/>
          <w:szCs w:val="20"/>
          <w:rtl w:val="0"/>
        </w:rPr>
        <w:t xml:space="preserve">. Declaração de inconstitucionalidade, sem redução de texto, do art. 28 da Lei 11.343/2006, para afastar a repercussão criminal do dispositivo em relação ao porte de cannabis sativa para uso pessoal. [...] 8. Conforme deliberado pelo Plenário, presume-se como usuário de drogas aquele que é encontrado na </w:t>
      </w:r>
      <w:r w:rsidDel="00000000" w:rsidR="00000000" w:rsidRPr="00000000">
        <w:rPr>
          <w:b w:val="1"/>
          <w:color w:val="000000"/>
          <w:sz w:val="20"/>
          <w:szCs w:val="20"/>
          <w:rtl w:val="0"/>
        </w:rPr>
        <w:t xml:space="preserve">posse de até 40 gramas de maconha</w:t>
      </w:r>
      <w:r w:rsidDel="00000000" w:rsidR="00000000" w:rsidRPr="00000000">
        <w:rPr>
          <w:color w:val="000000"/>
          <w:sz w:val="20"/>
          <w:szCs w:val="20"/>
          <w:rtl w:val="0"/>
        </w:rPr>
        <w:t xml:space="preserve"> ou de 6 plantas-fêmeas, [...] (I) </w:t>
      </w:r>
      <w:r w:rsidDel="00000000" w:rsidR="00000000" w:rsidRPr="00000000">
        <w:rPr>
          <w:b w:val="1"/>
          <w:color w:val="000000"/>
          <w:sz w:val="20"/>
          <w:szCs w:val="20"/>
          <w:rtl w:val="0"/>
        </w:rPr>
        <w:t xml:space="preserve">não comete infração penal</w:t>
      </w:r>
      <w:r w:rsidDel="00000000" w:rsidR="00000000" w:rsidRPr="00000000">
        <w:rPr>
          <w:color w:val="000000"/>
          <w:sz w:val="20"/>
          <w:szCs w:val="20"/>
          <w:rtl w:val="0"/>
        </w:rPr>
        <w:t xml:space="preserve"> quem adquirir, guardar, tiver em depósito, transportar ou trouxer consigo, </w:t>
      </w:r>
      <w:r w:rsidDel="00000000" w:rsidR="00000000" w:rsidRPr="00000000">
        <w:rPr>
          <w:b w:val="1"/>
          <w:color w:val="000000"/>
          <w:sz w:val="20"/>
          <w:szCs w:val="20"/>
          <w:rtl w:val="0"/>
        </w:rPr>
        <w:t xml:space="preserve">para consumo pessoal, a substância cannabis sativa, sem prejuízo do reconhecimento da ilicitude extrapenal da conduta</w:t>
      </w:r>
      <w:r w:rsidDel="00000000" w:rsidR="00000000" w:rsidRPr="00000000">
        <w:rPr>
          <w:color w:val="000000"/>
          <w:sz w:val="20"/>
          <w:szCs w:val="20"/>
          <w:rtl w:val="0"/>
        </w:rPr>
        <w:t xml:space="preserve">, com apreensão da droga e aplicação de sanções de advertência sobre os efeitos dela (art. 28, I) e medida educativa de comparecimento a programa ou curso educativo (art. 28, III); [...] (iii) em se tratando da posse de cannabis para </w:t>
      </w:r>
      <w:r w:rsidDel="00000000" w:rsidR="00000000" w:rsidRPr="00000000">
        <w:rPr>
          <w:b w:val="1"/>
          <w:color w:val="000000"/>
          <w:sz w:val="20"/>
          <w:szCs w:val="20"/>
          <w:rtl w:val="0"/>
        </w:rPr>
        <w:t xml:space="preserve">consumo pessoal, a autoridade policial apreenderá a substância e notificará o autor do fato</w:t>
      </w:r>
      <w:r w:rsidDel="00000000" w:rsidR="00000000" w:rsidRPr="00000000">
        <w:rPr>
          <w:color w:val="000000"/>
          <w:sz w:val="20"/>
          <w:szCs w:val="20"/>
          <w:rtl w:val="0"/>
        </w:rPr>
        <w:t xml:space="preserve"> para comparecer em Juízo, na forma do regulamento a ser aprovado pelo CNJ. [...] (vii) na hipótese de prisão por </w:t>
      </w:r>
      <w:r w:rsidDel="00000000" w:rsidR="00000000" w:rsidRPr="00000000">
        <w:rPr>
          <w:b w:val="1"/>
          <w:color w:val="000000"/>
          <w:sz w:val="20"/>
          <w:szCs w:val="20"/>
          <w:rtl w:val="0"/>
        </w:rPr>
        <w:t xml:space="preserve">quantidades inferiores à fixada no item 4, deverá o juiz, na audiência de custódia, avaliar as razões invocadas para o afastamento da presunção de porte para uso próprio</w:t>
      </w:r>
      <w:r w:rsidDel="00000000" w:rsidR="00000000" w:rsidRPr="00000000">
        <w:rPr>
          <w:color w:val="000000"/>
          <w:sz w:val="20"/>
          <w:szCs w:val="20"/>
          <w:rtl w:val="0"/>
        </w:rPr>
        <w:t xml:space="preserve">; (viii) a apreensão de </w:t>
      </w:r>
      <w:r w:rsidDel="00000000" w:rsidR="00000000" w:rsidRPr="00000000">
        <w:rPr>
          <w:b w:val="1"/>
          <w:color w:val="000000"/>
          <w:sz w:val="20"/>
          <w:szCs w:val="20"/>
          <w:rtl w:val="0"/>
        </w:rPr>
        <w:t xml:space="preserve">quantidades superiores aos limites ora fixados não impede o juiz de concluir que a conduta é atípica</w:t>
      </w:r>
      <w:r w:rsidDel="00000000" w:rsidR="00000000" w:rsidRPr="00000000">
        <w:rPr>
          <w:color w:val="000000"/>
          <w:sz w:val="20"/>
          <w:szCs w:val="20"/>
          <w:rtl w:val="0"/>
        </w:rPr>
        <w:t xml:space="preserve">, apontando nos autos prova suficiente da condição de usuário. [...] (Grifo nosso).</w:t>
      </w:r>
      <w:r w:rsidDel="00000000" w:rsidR="00000000" w:rsidRPr="00000000">
        <w:rPr>
          <w:rtl w:val="0"/>
        </w:rPr>
      </w:r>
    </w:p>
    <w:p w:rsidR="00000000" w:rsidDel="00000000" w:rsidP="00000000" w:rsidRDefault="00000000" w:rsidRPr="00000000" w14:paraId="000000A9">
      <w:pPr>
        <w:ind w:firstLine="709"/>
        <w:rPr/>
      </w:pPr>
      <w:r w:rsidDel="00000000" w:rsidR="00000000" w:rsidRPr="00000000">
        <w:rPr>
          <w:rtl w:val="0"/>
        </w:rPr>
        <w:t xml:space="preserve"> </w:t>
      </w:r>
    </w:p>
    <w:p w:rsidR="00000000" w:rsidDel="00000000" w:rsidP="00000000" w:rsidRDefault="00000000" w:rsidRPr="00000000" w14:paraId="000000AA">
      <w:pPr>
        <w:rPr>
          <w:rFonts w:ascii="Verdana" w:cs="Verdana" w:eastAsia="Verdana" w:hAnsi="Verdana"/>
        </w:rPr>
      </w:pPr>
      <w:bookmarkStart w:colFirst="0" w:colLast="0" w:name="_heading=h.1fob9te" w:id="2"/>
      <w:bookmarkEnd w:id="2"/>
      <w:r w:rsidDel="00000000" w:rsidR="00000000" w:rsidRPr="00000000">
        <w:rPr>
          <w:rtl w:val="0"/>
        </w:rPr>
        <w:t xml:space="preserve">Contudo, em defesa do Deputado Federal, houve um equívoco quanto à tipicidade do crime, conforme disposto no artigo 20 do Código Penal “</w:t>
      </w:r>
      <w:r w:rsidDel="00000000" w:rsidR="00000000" w:rsidRPr="00000000">
        <w:rPr>
          <w:color w:val="000000"/>
          <w:rtl w:val="0"/>
        </w:rPr>
        <w:t xml:space="preserve">O erro sobre elemento constitutivo do tipo legal de crime exclui o dolo, mas permite a punição por crime culposo, se previsto em lei.</w:t>
      </w:r>
      <w:r w:rsidDel="00000000" w:rsidR="00000000" w:rsidRPr="00000000">
        <w:rPr>
          <w:rtl w:val="0"/>
        </w:rPr>
        <w:t xml:space="preserve">”, uma vez que o crime no Brasil é atípico, pois o porte das 40 gramas é descriminalizado, o país não poderia extraditar o Deputado, já que o dolo está excluído.</w:t>
      </w:r>
      <w:r w:rsidDel="00000000" w:rsidR="00000000" w:rsidRPr="00000000">
        <w:rPr>
          <w:rtl w:val="0"/>
        </w:rPr>
      </w:r>
    </w:p>
    <w:p w:rsidR="00000000" w:rsidDel="00000000" w:rsidP="00000000" w:rsidRDefault="00000000" w:rsidRPr="00000000" w14:paraId="000000AB">
      <w:pPr>
        <w:rPr>
          <w:rFonts w:ascii="Verdana" w:cs="Verdana" w:eastAsia="Verdana" w:hAnsi="Verdana"/>
        </w:rPr>
      </w:pPr>
      <w:bookmarkStart w:colFirst="0" w:colLast="0" w:name="_heading=h.3znysh7" w:id="3"/>
      <w:bookmarkEnd w:id="3"/>
      <w:r w:rsidDel="00000000" w:rsidR="00000000" w:rsidRPr="00000000">
        <w:rPr>
          <w:rtl w:val="0"/>
        </w:rPr>
        <w:t xml:space="preserve">Como mencionado anteriormente, a extradição nada mais é do que uma cooperação internacional entre o Estado solicitante e o Estado brasileiro, que possui o poder de entregar uma pessoa sobre o qual recai uma condenação criminal definitiva ou em curso (Lei nº 13.445, artigo 81, 2017), entretanto, para melhor com</w:t>
      </w:r>
      <w:sdt>
        <w:sdtPr>
          <w:tag w:val="goog_rdk_0"/>
        </w:sdtPr>
        <w:sdtContent>
          <w:commentRangeStart w:id="0"/>
        </w:sdtContent>
      </w:sdt>
      <w:r w:rsidDel="00000000" w:rsidR="00000000" w:rsidRPr="00000000">
        <w:rPr>
          <w:rtl w:val="0"/>
        </w:rPr>
        <w:t xml:space="preserve">preensão, deve-se destacar o artigo 82 da Lei de Migração, que dispõe:</w:t>
      </w:r>
      <w:r w:rsidDel="00000000" w:rsidR="00000000" w:rsidRPr="00000000">
        <w:rPr>
          <w:rtl w:val="0"/>
        </w:rPr>
      </w:r>
    </w:p>
    <w:p w:rsidR="00000000" w:rsidDel="00000000" w:rsidP="00000000" w:rsidRDefault="00000000" w:rsidRPr="00000000" w14:paraId="000000AC">
      <w:pPr>
        <w:spacing w:line="240" w:lineRule="auto"/>
        <w:ind w:left="2268" w:firstLine="0"/>
        <w:rPr>
          <w:color w:val="000000"/>
          <w:sz w:val="20"/>
          <w:szCs w:val="20"/>
        </w:rPr>
      </w:pPr>
      <w:r w:rsidDel="00000000" w:rsidR="00000000" w:rsidRPr="00000000">
        <w:rPr>
          <w:color w:val="000000"/>
          <w:sz w:val="20"/>
          <w:szCs w:val="20"/>
          <w:rtl w:val="0"/>
        </w:rPr>
        <w:t xml:space="preserve">Art. 82. Não se concederá a extradição quando:</w:t>
      </w:r>
    </w:p>
    <w:p w:rsidR="00000000" w:rsidDel="00000000" w:rsidP="00000000" w:rsidRDefault="00000000" w:rsidRPr="00000000" w14:paraId="000000AD">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0AE">
      <w:pPr>
        <w:spacing w:line="240" w:lineRule="auto"/>
        <w:ind w:left="2268" w:firstLine="0"/>
        <w:rPr>
          <w:color w:val="000000"/>
          <w:sz w:val="20"/>
          <w:szCs w:val="20"/>
        </w:rPr>
      </w:pPr>
      <w:r w:rsidDel="00000000" w:rsidR="00000000" w:rsidRPr="00000000">
        <w:rPr>
          <w:color w:val="000000"/>
          <w:sz w:val="20"/>
          <w:szCs w:val="20"/>
          <w:rtl w:val="0"/>
        </w:rPr>
        <w:t xml:space="preserve">I - o indivíduo cuja extradição é solicitada ao Brasil for brasileiro nato;</w:t>
      </w:r>
    </w:p>
    <w:p w:rsidR="00000000" w:rsidDel="00000000" w:rsidP="00000000" w:rsidRDefault="00000000" w:rsidRPr="00000000" w14:paraId="000000AF">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0B0">
      <w:pPr>
        <w:spacing w:line="240" w:lineRule="auto"/>
        <w:ind w:left="2268" w:firstLine="0"/>
        <w:rPr>
          <w:color w:val="000000"/>
          <w:sz w:val="20"/>
          <w:szCs w:val="20"/>
        </w:rPr>
      </w:pPr>
      <w:r w:rsidDel="00000000" w:rsidR="00000000" w:rsidRPr="00000000">
        <w:rPr>
          <w:color w:val="000000"/>
          <w:sz w:val="20"/>
          <w:szCs w:val="20"/>
          <w:rtl w:val="0"/>
        </w:rPr>
        <w:t xml:space="preserve">II - o fato que motivar o pedido não for considerado crime no Brasil ou no Estado requerente;</w:t>
      </w:r>
    </w:p>
    <w:p w:rsidR="00000000" w:rsidDel="00000000" w:rsidP="00000000" w:rsidRDefault="00000000" w:rsidRPr="00000000" w14:paraId="000000B1">
      <w:pPr>
        <w:spacing w:line="240" w:lineRule="auto"/>
        <w:rPr/>
      </w:pPr>
      <w:r w:rsidDel="00000000" w:rsidR="00000000" w:rsidRPr="00000000">
        <w:rPr>
          <w:rtl w:val="0"/>
        </w:rPr>
      </w:r>
    </w:p>
    <w:p w:rsidR="00000000" w:rsidDel="00000000" w:rsidP="00000000" w:rsidRDefault="00000000" w:rsidRPr="00000000" w14:paraId="000000B2">
      <w:pPr>
        <w:rPr>
          <w:rFonts w:ascii="Verdana" w:cs="Verdana" w:eastAsia="Verdana" w:hAnsi="Verdana"/>
        </w:rPr>
      </w:pPr>
      <w:r w:rsidDel="00000000" w:rsidR="00000000" w:rsidRPr="00000000">
        <w:rPr>
          <w:rtl w:val="0"/>
        </w:rPr>
        <w:t xml:space="preserve">Portanto, o Deputado agiu sob erro de proibição, se equivocando ao julgar uma ação, a qual pensava não ser proibida. Ele também não poderá ser extraditado, visto que é brasileiro nato e o pedido de extradição recair em algo que é descriminalizado pelo Estado em que ele se encontra.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B3">
      <w:pPr>
        <w:ind w:firstLine="709"/>
        <w:rPr/>
      </w:pPr>
      <w:r w:rsidDel="00000000" w:rsidR="00000000" w:rsidRPr="00000000">
        <w:rPr>
          <w:rtl w:val="0"/>
        </w:rPr>
      </w:r>
    </w:p>
    <w:p w:rsidR="00000000" w:rsidDel="00000000" w:rsidP="00000000" w:rsidRDefault="00000000" w:rsidRPr="00000000" w14:paraId="000000B4">
      <w:pPr>
        <w:spacing w:after="200" w:lineRule="auto"/>
        <w:ind w:firstLine="0"/>
        <w:rPr>
          <w:b w:val="1"/>
          <w:sz w:val="28"/>
          <w:szCs w:val="28"/>
        </w:rPr>
      </w:pPr>
      <w:r w:rsidDel="00000000" w:rsidR="00000000" w:rsidRPr="00000000">
        <w:rPr>
          <w:b w:val="1"/>
          <w:sz w:val="28"/>
          <w:szCs w:val="28"/>
          <w:rtl w:val="0"/>
        </w:rPr>
        <w:t xml:space="preserve">2.2. DA EXTRADIÇÃO</w:t>
      </w:r>
    </w:p>
    <w:p w:rsidR="00000000" w:rsidDel="00000000" w:rsidP="00000000" w:rsidRDefault="00000000" w:rsidRPr="00000000" w14:paraId="000000B5">
      <w:pPr>
        <w:rPr/>
      </w:pPr>
      <w:r w:rsidDel="00000000" w:rsidR="00000000" w:rsidRPr="00000000">
        <w:rPr>
          <w:rtl w:val="0"/>
        </w:rPr>
        <w:t xml:space="preserve">Em um segundo questionamento, o consulente procura saber a respeito do cabimento da extradição em seu caso para responder penalmente na Holanda.</w:t>
      </w:r>
    </w:p>
    <w:p w:rsidR="00000000" w:rsidDel="00000000" w:rsidP="00000000" w:rsidRDefault="00000000" w:rsidRPr="00000000" w14:paraId="000000B6">
      <w:pPr>
        <w:rPr/>
      </w:pPr>
      <w:r w:rsidDel="00000000" w:rsidR="00000000" w:rsidRPr="00000000">
        <w:rPr>
          <w:rtl w:val="0"/>
        </w:rPr>
        <w:t xml:space="preserve">Quanto ao pedido de extradição formulado pelo governo holandês, adianta-se é incabível e impossível no caso em tela. Primeiramente, deve-se atentar à previsão expressa no texto constitucional, na alínea LI de seu artigo 5º, e a explanação de Sylvio Motta acerca do tema para posteriormente passarmos à análise da categoria em que o consulente se enquadra:</w:t>
      </w:r>
    </w:p>
    <w:p w:rsidR="00000000" w:rsidDel="00000000" w:rsidP="00000000" w:rsidRDefault="00000000" w:rsidRPr="00000000" w14:paraId="000000B7">
      <w:pPr>
        <w:spacing w:line="240" w:lineRule="auto"/>
        <w:ind w:left="2268" w:firstLine="0"/>
        <w:rPr>
          <w:sz w:val="20"/>
          <w:szCs w:val="20"/>
        </w:rPr>
      </w:pPr>
      <w:r w:rsidDel="00000000" w:rsidR="00000000" w:rsidRPr="00000000">
        <w:rPr>
          <w:sz w:val="20"/>
          <w:szCs w:val="20"/>
          <w:rtl w:val="0"/>
        </w:rPr>
        <w:t xml:space="preserve">Art. 5º Todos são iguais perante a lei, sem distinção de qualquer natureza, garantindo-se aos brasileiros e aos estrangeiros residentes no País a inviolabilidade do direito à vida, à liberdade, à igualdade, à segurança e à propriedade, nos termos seguintes: </w:t>
      </w:r>
    </w:p>
    <w:p w:rsidR="00000000" w:rsidDel="00000000" w:rsidP="00000000" w:rsidRDefault="00000000" w:rsidRPr="00000000" w14:paraId="000000B8">
      <w:pPr>
        <w:spacing w:line="240" w:lineRule="auto"/>
        <w:ind w:left="2268" w:firstLine="0"/>
        <w:rPr>
          <w:sz w:val="20"/>
          <w:szCs w:val="20"/>
        </w:rPr>
      </w:pPr>
      <w:r w:rsidDel="00000000" w:rsidR="00000000" w:rsidRPr="00000000">
        <w:rPr>
          <w:rtl w:val="0"/>
        </w:rPr>
      </w:r>
    </w:p>
    <w:p w:rsidR="00000000" w:rsidDel="00000000" w:rsidP="00000000" w:rsidRDefault="00000000" w:rsidRPr="00000000" w14:paraId="000000B9">
      <w:pPr>
        <w:spacing w:line="240" w:lineRule="auto"/>
        <w:ind w:left="2268" w:firstLine="0"/>
        <w:rPr>
          <w:sz w:val="20"/>
          <w:szCs w:val="20"/>
        </w:rPr>
      </w:pPr>
      <w:r w:rsidDel="00000000" w:rsidR="00000000" w:rsidRPr="00000000">
        <w:rPr>
          <w:sz w:val="20"/>
          <w:szCs w:val="20"/>
          <w:rtl w:val="0"/>
        </w:rPr>
        <w:t xml:space="preserve">LI - nenhum brasileiro será extraditado, salvo o naturalizado, em caso de crime comum, praticado antes da naturalização, ou de comprovado envolvimento em tráfico ilícito de entorpecentes e drogas afins, na forma da lei;</w:t>
      </w:r>
    </w:p>
    <w:p w:rsidR="00000000" w:rsidDel="00000000" w:rsidP="00000000" w:rsidRDefault="00000000" w:rsidRPr="00000000" w14:paraId="000000BA">
      <w:pPr>
        <w:spacing w:line="240" w:lineRule="auto"/>
        <w:rPr/>
      </w:pPr>
      <w:r w:rsidDel="00000000" w:rsidR="00000000" w:rsidRPr="00000000">
        <w:rPr>
          <w:rtl w:val="0"/>
        </w:rPr>
      </w:r>
    </w:p>
    <w:p w:rsidR="00000000" w:rsidDel="00000000" w:rsidP="00000000" w:rsidRDefault="00000000" w:rsidRPr="00000000" w14:paraId="000000BB">
      <w:pPr>
        <w:rPr/>
      </w:pPr>
      <w:r w:rsidDel="00000000" w:rsidR="00000000" w:rsidRPr="00000000">
        <w:rPr>
          <w:rtl w:val="0"/>
        </w:rPr>
        <w:t xml:space="preserve">No mesmo sentido, temos o doutrinador Sylvio Motta (2021, p. 298):</w:t>
      </w:r>
    </w:p>
    <w:p w:rsidR="00000000" w:rsidDel="00000000" w:rsidP="00000000" w:rsidRDefault="00000000" w:rsidRPr="00000000" w14:paraId="000000BC">
      <w:pPr>
        <w:spacing w:line="240" w:lineRule="auto"/>
        <w:ind w:left="2268" w:firstLine="0"/>
        <w:rPr>
          <w:color w:val="000000"/>
          <w:sz w:val="20"/>
          <w:szCs w:val="20"/>
        </w:rPr>
      </w:pPr>
      <w:r w:rsidDel="00000000" w:rsidR="00000000" w:rsidRPr="00000000">
        <w:rPr>
          <w:color w:val="000000"/>
          <w:sz w:val="20"/>
          <w:szCs w:val="20"/>
          <w:rtl w:val="0"/>
        </w:rPr>
        <w:t xml:space="preserve">Quanto ao brasileiro, temos que diferenciar. O brasileiro nato é não extraditável em termos absolutos, de forma que, mesmo cometendo um crime no exterior, será ele, se for o caso, julgado pelo seu ato no Brasil. Já o brasileiro naturalizado, em regra, não pode ser extraditado. A Constituição contempla apenas duas exceções: a primeira, quando ele, antes da naturalização (ou seja, quando ainda era estrangeiro), comete crime comum (que não seja político ou de opinião); e a segunda, quando, antes ou depois de obter a naturalização, ele comprovadamente se envolve com o tráfico ilícito de entorpecentes e drogas afins.</w:t>
      </w:r>
    </w:p>
    <w:p w:rsidR="00000000" w:rsidDel="00000000" w:rsidP="00000000" w:rsidRDefault="00000000" w:rsidRPr="00000000" w14:paraId="000000BD">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0BE">
      <w:pPr>
        <w:spacing w:line="240" w:lineRule="auto"/>
        <w:ind w:left="2268" w:firstLine="0"/>
        <w:rPr>
          <w:color w:val="000000"/>
          <w:sz w:val="20"/>
          <w:szCs w:val="20"/>
        </w:rPr>
      </w:pPr>
      <w:r w:rsidDel="00000000" w:rsidR="00000000" w:rsidRPr="00000000">
        <w:rPr>
          <w:color w:val="000000"/>
          <w:sz w:val="20"/>
          <w:szCs w:val="20"/>
          <w:rtl w:val="0"/>
        </w:rPr>
        <w:t xml:space="preserve">Dessa forma, analisando conjuntamente os dois dispositivos, podemos concluir que o estrangeiro é, em regra, extraditável, ressalvados os crimes políticos e de opinião; o brasileiro naturalizado, em regra, é inextraditável, salvo por crime comum praticado antes da naturalização ou pela prática, a qualquer tempo, de crime de tráfico de entorpecentes ou de drogas afins; e o brasileiro nato, por sua vez, é absolutamente inextraditável.</w:t>
      </w:r>
    </w:p>
    <w:p w:rsidR="00000000" w:rsidDel="00000000" w:rsidP="00000000" w:rsidRDefault="00000000" w:rsidRPr="00000000" w14:paraId="000000BF">
      <w:pPr>
        <w:spacing w:line="240" w:lineRule="auto"/>
        <w:rPr/>
      </w:pPr>
      <w:r w:rsidDel="00000000" w:rsidR="00000000" w:rsidRPr="00000000">
        <w:rPr>
          <w:rtl w:val="0"/>
        </w:rPr>
      </w:r>
    </w:p>
    <w:p w:rsidR="00000000" w:rsidDel="00000000" w:rsidP="00000000" w:rsidRDefault="00000000" w:rsidRPr="00000000" w14:paraId="000000C0">
      <w:pPr>
        <w:rPr/>
      </w:pPr>
      <w:r w:rsidDel="00000000" w:rsidR="00000000" w:rsidRPr="00000000">
        <w:rPr>
          <w:rtl w:val="0"/>
        </w:rPr>
        <w:t xml:space="preserve">Apenas o brasileiro naturalizado, portanto, em situações específicas, pode ser extraditado. Entretanto, importante atentar que o cargo ocupado pelo consulente na Câmara dos Deputados é o da presidência, cargo reservado apenas a brasileiros natos. É o que diz o texto da Constituição Federal em seu artigo 12, § 3º, inciso II: “Art. 12. São brasileiros: [...] § 3º São privativos de brasileiro nato os cargos: [...] II – de Presidente da Câmara dos Deputados;”</w:t>
      </w:r>
    </w:p>
    <w:p w:rsidR="00000000" w:rsidDel="00000000" w:rsidP="00000000" w:rsidRDefault="00000000" w:rsidRPr="00000000" w14:paraId="000000C1">
      <w:pPr>
        <w:rPr/>
      </w:pPr>
      <w:r w:rsidDel="00000000" w:rsidR="00000000" w:rsidRPr="00000000">
        <w:rPr>
          <w:rtl w:val="0"/>
        </w:rPr>
        <w:t xml:space="preserve">Não cabe, portanto, pela condição do consulente de brasileiro nato, o deferimento do pedido de extradição. </w:t>
      </w:r>
    </w:p>
    <w:p w:rsidR="00000000" w:rsidDel="00000000" w:rsidP="00000000" w:rsidRDefault="00000000" w:rsidRPr="00000000" w14:paraId="000000C2">
      <w:pPr>
        <w:rPr>
          <w:highlight w:val="yellow"/>
        </w:rPr>
      </w:pPr>
      <w:r w:rsidDel="00000000" w:rsidR="00000000" w:rsidRPr="00000000">
        <w:rPr>
          <w:rtl w:val="0"/>
        </w:rPr>
        <w:t xml:space="preserve">Tampouco caberia a extradição caso fosse estrangeiro, uma vez que seria ferido o princípio da identidade, também chamado princípio da dupla identidade, que exige a consonância entre as leis punitivas de ambos os Estados, ou seja, requer que o ato em questão seja punível nos dois países. Sobre o tema, explicita Sidney Guerra (2024, p. 447):</w:t>
      </w:r>
      <w:r w:rsidDel="00000000" w:rsidR="00000000" w:rsidRPr="00000000">
        <w:rPr>
          <w:rtl w:val="0"/>
        </w:rPr>
      </w:r>
    </w:p>
    <w:p w:rsidR="00000000" w:rsidDel="00000000" w:rsidP="00000000" w:rsidRDefault="00000000" w:rsidRPr="00000000" w14:paraId="000000C3">
      <w:pPr>
        <w:spacing w:line="240" w:lineRule="auto"/>
        <w:ind w:left="2268" w:firstLine="0"/>
        <w:rPr>
          <w:color w:val="000000"/>
          <w:sz w:val="20"/>
          <w:szCs w:val="20"/>
        </w:rPr>
      </w:pPr>
      <w:r w:rsidDel="00000000" w:rsidR="00000000" w:rsidRPr="00000000">
        <w:rPr>
          <w:color w:val="000000"/>
          <w:sz w:val="20"/>
          <w:szCs w:val="20"/>
          <w:rtl w:val="0"/>
        </w:rPr>
        <w:t xml:space="preserve">Somado a isso, devem ser observados o princípio da identidade, que consiste no fato de a extradição ser concedida apenas quando houver a identidade do crime e da pena aplicada, e o princípio da especialidade, onde o extraditando não poderá ser julgado por delito diferente daquele que fundamentou o pedido de extradição.</w:t>
      </w:r>
    </w:p>
    <w:p w:rsidR="00000000" w:rsidDel="00000000" w:rsidP="00000000" w:rsidRDefault="00000000" w:rsidRPr="00000000" w14:paraId="000000C4">
      <w:pPr>
        <w:rPr/>
      </w:pPr>
      <w:r w:rsidDel="00000000" w:rsidR="00000000" w:rsidRPr="00000000">
        <w:rPr>
          <w:rtl w:val="0"/>
        </w:rPr>
      </w:r>
    </w:p>
    <w:p w:rsidR="00000000" w:rsidDel="00000000" w:rsidP="00000000" w:rsidRDefault="00000000" w:rsidRPr="00000000" w14:paraId="000000C5">
      <w:pPr>
        <w:rPr/>
      </w:pPr>
      <w:r w:rsidDel="00000000" w:rsidR="00000000" w:rsidRPr="00000000">
        <w:rPr>
          <w:rtl w:val="0"/>
        </w:rPr>
        <w:t xml:space="preserve">Assim como confirma o Supremo Tribunal Federal, no segundo julgamento na extradição nº 1.506, relator: Min. Roberto Barroso, publicado em 12/12/2017 (órgão julgador: Primeira Turma), no Distrito Federal:</w:t>
      </w:r>
    </w:p>
    <w:p w:rsidR="00000000" w:rsidDel="00000000" w:rsidP="00000000" w:rsidRDefault="00000000" w:rsidRPr="00000000" w14:paraId="000000C6">
      <w:pPr>
        <w:spacing w:line="240" w:lineRule="auto"/>
        <w:ind w:left="2268" w:firstLine="0"/>
        <w:rPr/>
      </w:pPr>
      <w:r w:rsidDel="00000000" w:rsidR="00000000" w:rsidRPr="00000000">
        <w:rPr>
          <w:color w:val="000000"/>
          <w:sz w:val="20"/>
          <w:szCs w:val="20"/>
          <w:rtl w:val="0"/>
        </w:rPr>
        <w:t xml:space="preserve">Ext 1.506 2 Julg/DF, cujo relator funcionou o Ministro Roberto Barroso em julgamento datado de 12-12-2017 (Órgão Julgador: Primeira Turma), onde colhe-se a Ementa: “EXTRADIÇÃO INSTRUTÓRIA. REGULARIDADE FORMAL. REQUISITOS LEGAIS ATENDIDOS. DEFERIMENTO. 1. O requerimento da Extradição formulado pelo Governo do Uruguai em face de seu nacional preenche os requisitos formais do Tratado de extradição específico. 2. Estão presentes os pressupostos materiais: a dupla tipicidade e dupla punibilidade de crime comum praticado por estrangeiro, e a falta de jurisdição brasileira sobre o fato. 3. No exame de delibação próprio das decisões proferidas em processos de extradição, somente é possível a análise da legalidade extrínseca do pedido, sem o ingresso no mérito da procedência da acusação, da ordem de prisão instrutória ou executória. 4. A prisão é condição de procedibilidade do procedimento de extradição, de modo que a sua revogação só ocorre em situações excepcionais. Entre as situações excepcionais, inclui-se a precariedade do estado de saúde do extraditando, o que deve ser comprovado pela defesa. No presente caso, isso não ocorreu. 5. Extradição deferida, condicionada a entrega ao Estado requerente ao compromisso formal de detrair da pena do período em que o extraditando permaneceu preso no Brasil por força deste processo</w:t>
      </w:r>
      <w:r w:rsidDel="00000000" w:rsidR="00000000" w:rsidRPr="00000000">
        <w:rPr>
          <w:rtl w:val="0"/>
        </w:rPr>
        <w:t xml:space="preserve">.</w:t>
      </w:r>
    </w:p>
    <w:p w:rsidR="00000000" w:rsidDel="00000000" w:rsidP="00000000" w:rsidRDefault="00000000" w:rsidRPr="00000000" w14:paraId="000000C7">
      <w:pPr>
        <w:spacing w:line="240" w:lineRule="auto"/>
        <w:rPr/>
      </w:pPr>
      <w:r w:rsidDel="00000000" w:rsidR="00000000" w:rsidRPr="00000000">
        <w:rPr>
          <w:rtl w:val="0"/>
        </w:rPr>
      </w:r>
    </w:p>
    <w:p w:rsidR="00000000" w:rsidDel="00000000" w:rsidP="00000000" w:rsidRDefault="00000000" w:rsidRPr="00000000" w14:paraId="000000C8">
      <w:pPr>
        <w:ind w:firstLine="709"/>
        <w:rPr>
          <w:highlight w:val="yellow"/>
        </w:rPr>
      </w:pPr>
      <w:r w:rsidDel="00000000" w:rsidR="00000000" w:rsidRPr="00000000">
        <w:rPr>
          <w:rtl w:val="0"/>
        </w:rPr>
        <w:t xml:space="preserve">Isso porque, no Brasil, por posicionamento adotado recentemente pelo Supremo Tribunal Federal em sua Tese 506 abaixo transcrita no Recurso Extraordinário 635659, relator: Min. Gilmar Mendes, publicado em 27/09/2024, em São Paulo, ficou estabelecida a quantidade limite de 40 gramas de maconha para que o agente seja considerado usuário:</w:t>
      </w:r>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1.Não comete infração penal quem adquirir, guardar</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tiver em depósito, transportar ou trouxer consigo, para consumo pessoal,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a substância cannabis sativa,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sem prejuízo do reconhecimento da ilicitude extrapenal da conduta, com apreensão da droga e aplicação de sanções de advertência sobre os efeitos dela (art. 28, I) e medida educativa de comparecimento a programa ou curso educativo (art. 28, III); 2. As sanções estabelecidas nos incisos I e III do art. 28 da Lei 11.343/06 serão aplicadas pelo juiz em procedimento de natureza não penal, sem nenhuma repercussão criminal para a conduta; 3. Em se tratando da posse de cannabis para consumo pessoal, a autoridade policial apreenderá a substância e notificará o autor do fato para comparecer em Juízo, na forma do regulamento a ser aprovado pelo CNJ. Até que o CNJ delibere a respeito, a competência para julgar as condutas do art. 28 da Lei 11.343/06 será dos Juizados Especiais Criminais, segundo a sistemática atual, vedada a atribuição de quaisquer efeitos penais para a sentença; 4. Nos termos do § 2º do artigo 28 da Lei 11.343/2006,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será presumido usuário quem, para consumo próprio, adquirir, guardar, tiver em depósito, transportar ou trouxer consigo, até 40 gramas de cannabis sativa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ou seis plantas-fêmeas, até que o Congresso Nacional venha a legislar a respeito; 5. A presunção do item anterior é relativa, não estando a autoridade policial e seus agentes impedidos de realizar a prisão em flagrante por tráfico de drogas, mesmo para quantidades inferiores ao limite acima estabelecido, quando presentes elementos que indiquem intuito de mercancia, como a forma de acondicionamento da droga, as circunstâncias da apreensão, a variedade de substâncias apreendidas, a apreensão simultânea de instrumentos como balança, registros de operações comerciais e aparelho celular contendo contatos de usuários ou traficantes; 6. Nesses casos, caberá ao Delegado de Polícia consignar, no auto de prisão em flagrante, justificativa minudente para afastamento da presunção do porte para uso pessoal, sendo vedada a alusão a critérios subjetivos arbitrários; 7. Na hipótese de prisão por quantidades inferiores à fixada no item 4, deverá o juiz, na audiência de custódia, avaliar as razões invocadas para o afastamento da presunção de porte para uso próprio; 8. A apreensão de quantidades superiores aos limites ora fixados não impede o juiz de concluir que a conduta é atípica, apontando nos autos prova suficiente da condição de usuário. (Grifo nosso.)</w:t>
      </w:r>
    </w:p>
    <w:p w:rsidR="00000000" w:rsidDel="00000000" w:rsidP="00000000" w:rsidRDefault="00000000" w:rsidRPr="00000000" w14:paraId="000000CA">
      <w:pPr>
        <w:spacing w:line="240" w:lineRule="auto"/>
        <w:rPr/>
      </w:pPr>
      <w:r w:rsidDel="00000000" w:rsidR="00000000" w:rsidRPr="00000000">
        <w:rPr>
          <w:rtl w:val="0"/>
        </w:rPr>
      </w:r>
    </w:p>
    <w:p w:rsidR="00000000" w:rsidDel="00000000" w:rsidP="00000000" w:rsidRDefault="00000000" w:rsidRPr="00000000" w14:paraId="000000CB">
      <w:pPr>
        <w:rPr>
          <w:highlight w:val="yellow"/>
        </w:rPr>
      </w:pPr>
      <w:sdt>
        <w:sdtPr>
          <w:tag w:val="goog_rdk_1"/>
        </w:sdtPr>
        <w:sdtContent>
          <w:commentRangeStart w:id="1"/>
        </w:sdtContent>
      </w:sdt>
      <w:r w:rsidDel="00000000" w:rsidR="00000000" w:rsidRPr="00000000">
        <w:rPr>
          <w:rtl w:val="0"/>
        </w:rPr>
        <w:t xml:space="preserve">Portanto, como no Brasil a conduta do consulente não seria punível criminalmente, em hipótese alguma – ainda que fosse estrangeiro – seria alguém extraditado nessas condições.</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CC">
      <w:pPr>
        <w:spacing w:before="240" w:lineRule="auto"/>
        <w:ind w:firstLine="709"/>
        <w:rPr/>
      </w:pPr>
      <w:r w:rsidDel="00000000" w:rsidR="00000000" w:rsidRPr="00000000">
        <w:rPr>
          <w:rtl w:val="0"/>
        </w:rPr>
      </w:r>
    </w:p>
    <w:p w:rsidR="00000000" w:rsidDel="00000000" w:rsidP="00000000" w:rsidRDefault="00000000" w:rsidRPr="00000000" w14:paraId="000000CD">
      <w:pPr>
        <w:spacing w:after="200" w:before="240" w:lineRule="auto"/>
        <w:ind w:firstLine="0"/>
        <w:rPr>
          <w:b w:val="1"/>
          <w:sz w:val="28"/>
          <w:szCs w:val="28"/>
        </w:rPr>
      </w:pPr>
      <w:r w:rsidDel="00000000" w:rsidR="00000000" w:rsidRPr="00000000">
        <w:rPr>
          <w:b w:val="1"/>
          <w:sz w:val="28"/>
          <w:szCs w:val="28"/>
          <w:rtl w:val="0"/>
        </w:rPr>
        <w:t xml:space="preserve">2.3. DOS DIREITOS POLÍTICOS</w:t>
      </w:r>
    </w:p>
    <w:p w:rsidR="00000000" w:rsidDel="00000000" w:rsidP="00000000" w:rsidRDefault="00000000" w:rsidRPr="00000000" w14:paraId="000000CE">
      <w:pPr>
        <w:rPr/>
      </w:pPr>
      <w:r w:rsidDel="00000000" w:rsidR="00000000" w:rsidRPr="00000000">
        <w:rPr>
          <w:rtl w:val="0"/>
        </w:rPr>
        <w:t xml:space="preserve">Ademais, consulta o consulente a respeito de seus direitos políticos no caso em questão, Jacob, Deputado Federal, mesmo renunciando ao mandato, poderá ter seus direitos políticos suspensos ou perdidos. Isso está em conformidade com o artigo 15 da Constituição Federal, que prevê os atos de perda e suspensão de direitos políticos:</w:t>
      </w:r>
    </w:p>
    <w:p w:rsidR="00000000" w:rsidDel="00000000" w:rsidP="00000000" w:rsidRDefault="00000000" w:rsidRPr="00000000" w14:paraId="000000CF">
      <w:pPr>
        <w:spacing w:line="240" w:lineRule="auto"/>
        <w:ind w:left="2268" w:firstLine="0"/>
        <w:rPr>
          <w:color w:val="000000"/>
          <w:sz w:val="20"/>
          <w:szCs w:val="20"/>
        </w:rPr>
      </w:pPr>
      <w:r w:rsidDel="00000000" w:rsidR="00000000" w:rsidRPr="00000000">
        <w:rPr>
          <w:b w:val="1"/>
          <w:color w:val="000000"/>
          <w:sz w:val="20"/>
          <w:szCs w:val="20"/>
          <w:rtl w:val="0"/>
        </w:rPr>
        <w:t xml:space="preserve">Art. 15</w:t>
      </w:r>
      <w:r w:rsidDel="00000000" w:rsidR="00000000" w:rsidRPr="00000000">
        <w:rPr>
          <w:color w:val="000000"/>
          <w:sz w:val="20"/>
          <w:szCs w:val="20"/>
          <w:rtl w:val="0"/>
        </w:rPr>
        <w:t xml:space="preserve">. É vedada a cassação de direitos políticos, cuja perda ou suspensão só se dará nos casos de:</w:t>
      </w:r>
    </w:p>
    <w:p w:rsidR="00000000" w:rsidDel="00000000" w:rsidP="00000000" w:rsidRDefault="00000000" w:rsidRPr="00000000" w14:paraId="000000D0">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0D1">
      <w:pPr>
        <w:spacing w:line="240" w:lineRule="auto"/>
        <w:ind w:left="2268" w:firstLine="0"/>
        <w:rPr>
          <w:color w:val="000000"/>
          <w:sz w:val="20"/>
          <w:szCs w:val="20"/>
        </w:rPr>
      </w:pPr>
      <w:r w:rsidDel="00000000" w:rsidR="00000000" w:rsidRPr="00000000">
        <w:rPr>
          <w:color w:val="000000"/>
          <w:sz w:val="20"/>
          <w:szCs w:val="20"/>
          <w:rtl w:val="0"/>
        </w:rPr>
        <w:t xml:space="preserve">I - cancelamento da naturalização por sentença transitada em julgado;</w:t>
      </w:r>
    </w:p>
    <w:p w:rsidR="00000000" w:rsidDel="00000000" w:rsidP="00000000" w:rsidRDefault="00000000" w:rsidRPr="00000000" w14:paraId="000000D2">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0D3">
      <w:pPr>
        <w:spacing w:line="240" w:lineRule="auto"/>
        <w:ind w:left="2268" w:firstLine="0"/>
        <w:rPr>
          <w:color w:val="000000"/>
          <w:sz w:val="20"/>
          <w:szCs w:val="20"/>
        </w:rPr>
      </w:pPr>
      <w:r w:rsidDel="00000000" w:rsidR="00000000" w:rsidRPr="00000000">
        <w:rPr>
          <w:color w:val="000000"/>
          <w:sz w:val="20"/>
          <w:szCs w:val="20"/>
          <w:rtl w:val="0"/>
        </w:rPr>
        <w:t xml:space="preserve">II - incapacidade civil absoluta;</w:t>
      </w:r>
    </w:p>
    <w:p w:rsidR="00000000" w:rsidDel="00000000" w:rsidP="00000000" w:rsidRDefault="00000000" w:rsidRPr="00000000" w14:paraId="000000D4">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0D5">
      <w:pPr>
        <w:spacing w:line="240" w:lineRule="auto"/>
        <w:ind w:left="2268" w:firstLine="0"/>
        <w:rPr>
          <w:b w:val="1"/>
          <w:color w:val="000000"/>
          <w:sz w:val="20"/>
          <w:szCs w:val="20"/>
        </w:rPr>
      </w:pPr>
      <w:r w:rsidDel="00000000" w:rsidR="00000000" w:rsidRPr="00000000">
        <w:rPr>
          <w:color w:val="000000"/>
          <w:sz w:val="20"/>
          <w:szCs w:val="20"/>
          <w:rtl w:val="0"/>
        </w:rPr>
        <w:t xml:space="preserve">III - </w:t>
      </w:r>
      <w:r w:rsidDel="00000000" w:rsidR="00000000" w:rsidRPr="00000000">
        <w:rPr>
          <w:b w:val="1"/>
          <w:color w:val="000000"/>
          <w:sz w:val="20"/>
          <w:szCs w:val="20"/>
          <w:rtl w:val="0"/>
        </w:rPr>
        <w:t xml:space="preserve">condenação criminal transitada em julgado, enquanto durarem seus efeitos;</w:t>
      </w:r>
    </w:p>
    <w:p w:rsidR="00000000" w:rsidDel="00000000" w:rsidP="00000000" w:rsidRDefault="00000000" w:rsidRPr="00000000" w14:paraId="000000D6">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0D7">
      <w:pPr>
        <w:spacing w:line="240" w:lineRule="auto"/>
        <w:ind w:left="2268" w:firstLine="0"/>
        <w:rPr>
          <w:color w:val="000000"/>
          <w:sz w:val="20"/>
          <w:szCs w:val="20"/>
        </w:rPr>
      </w:pPr>
      <w:r w:rsidDel="00000000" w:rsidR="00000000" w:rsidRPr="00000000">
        <w:rPr>
          <w:color w:val="000000"/>
          <w:sz w:val="20"/>
          <w:szCs w:val="20"/>
          <w:rtl w:val="0"/>
        </w:rPr>
        <w:t xml:space="preserve">IV - recusa de cumprir obrigação a todos imposta ou prestação alternativa, nos termos do art. 5º, VIII;</w:t>
      </w:r>
    </w:p>
    <w:p w:rsidR="00000000" w:rsidDel="00000000" w:rsidP="00000000" w:rsidRDefault="00000000" w:rsidRPr="00000000" w14:paraId="000000D8">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0D9">
      <w:pPr>
        <w:spacing w:line="240" w:lineRule="auto"/>
        <w:ind w:left="2268" w:firstLine="0"/>
        <w:rPr>
          <w:color w:val="000000"/>
          <w:sz w:val="20"/>
          <w:szCs w:val="20"/>
        </w:rPr>
      </w:pPr>
      <w:r w:rsidDel="00000000" w:rsidR="00000000" w:rsidRPr="00000000">
        <w:rPr>
          <w:color w:val="000000"/>
          <w:sz w:val="20"/>
          <w:szCs w:val="20"/>
          <w:rtl w:val="0"/>
        </w:rPr>
        <w:t xml:space="preserve">V - improbidade administrativa, nos termos do art. 37, § 4º. (Grifo nosso)</w:t>
      </w:r>
    </w:p>
    <w:p w:rsidR="00000000" w:rsidDel="00000000" w:rsidP="00000000" w:rsidRDefault="00000000" w:rsidRPr="00000000" w14:paraId="000000DA">
      <w:pPr>
        <w:rPr/>
      </w:pPr>
      <w:r w:rsidDel="00000000" w:rsidR="00000000" w:rsidRPr="00000000">
        <w:rPr>
          <w:rtl w:val="0"/>
        </w:rPr>
      </w:r>
    </w:p>
    <w:p w:rsidR="00000000" w:rsidDel="00000000" w:rsidP="00000000" w:rsidRDefault="00000000" w:rsidRPr="00000000" w14:paraId="000000DB">
      <w:pPr>
        <w:rPr/>
      </w:pPr>
      <w:r w:rsidDel="00000000" w:rsidR="00000000" w:rsidRPr="00000000">
        <w:rPr>
          <w:rtl w:val="0"/>
        </w:rPr>
        <w:t xml:space="preserve">Dessa forma, caso seja instaurado um processo criminal por quebra de decoro contra o atual deputado, em razão dos ilícitos cometidos na Holanda, e esse processo transite em julgado, poderá ocorrer a suspensão de seus direitos políticos.</w:t>
      </w:r>
    </w:p>
    <w:p w:rsidR="00000000" w:rsidDel="00000000" w:rsidP="00000000" w:rsidRDefault="00000000" w:rsidRPr="00000000" w14:paraId="000000DC">
      <w:pPr>
        <w:rPr/>
      </w:pPr>
      <w:r w:rsidDel="00000000" w:rsidR="00000000" w:rsidRPr="00000000">
        <w:rPr>
          <w:rtl w:val="0"/>
        </w:rPr>
        <w:t xml:space="preserve">Entende-se como decoro parlamentar, seguindo o entendimento do doutrinador Alexandre de Moraes em seu livro “Direito Constitucional” (2024, p.520), que dispõe:</w:t>
      </w:r>
    </w:p>
    <w:p w:rsidR="00000000" w:rsidDel="00000000" w:rsidP="00000000" w:rsidRDefault="00000000" w:rsidRPr="00000000" w14:paraId="000000DD">
      <w:pPr>
        <w:spacing w:line="240" w:lineRule="auto"/>
        <w:ind w:left="2268" w:firstLine="0"/>
        <w:rPr>
          <w:color w:val="000000"/>
          <w:sz w:val="20"/>
          <w:szCs w:val="20"/>
        </w:rPr>
      </w:pPr>
      <w:r w:rsidDel="00000000" w:rsidR="00000000" w:rsidRPr="00000000">
        <w:rPr>
          <w:sz w:val="20"/>
          <w:szCs w:val="20"/>
          <w:rtl w:val="0"/>
        </w:rPr>
        <w:t xml:space="preserve">[...] </w:t>
      </w:r>
      <w:r w:rsidDel="00000000" w:rsidR="00000000" w:rsidRPr="00000000">
        <w:rPr>
          <w:color w:val="000000"/>
          <w:sz w:val="20"/>
          <w:szCs w:val="20"/>
          <w:rtl w:val="0"/>
        </w:rPr>
        <w:t xml:space="preserve">o conjunto de regras legais e morais que devem reger a conduta dos parlamentares, no sentido de </w:t>
      </w:r>
      <w:r w:rsidDel="00000000" w:rsidR="00000000" w:rsidRPr="00000000">
        <w:rPr>
          <w:sz w:val="20"/>
          <w:szCs w:val="20"/>
          <w:rtl w:val="0"/>
        </w:rPr>
        <w:t xml:space="preserve">dignificação</w:t>
      </w:r>
      <w:r w:rsidDel="00000000" w:rsidR="00000000" w:rsidRPr="00000000">
        <w:rPr>
          <w:color w:val="000000"/>
          <w:sz w:val="20"/>
          <w:szCs w:val="20"/>
          <w:rtl w:val="0"/>
        </w:rPr>
        <w:t xml:space="preserve"> da nobre atividade legislativa. Nessa hipótese, por tratar-se de ato disciplinar de competência privativa da Casa Legislativa respectiva [...].</w:t>
      </w:r>
    </w:p>
    <w:p w:rsidR="00000000" w:rsidDel="00000000" w:rsidP="00000000" w:rsidRDefault="00000000" w:rsidRPr="00000000" w14:paraId="000000DE">
      <w:pPr>
        <w:rPr/>
      </w:pPr>
      <w:r w:rsidDel="00000000" w:rsidR="00000000" w:rsidRPr="00000000">
        <w:rPr>
          <w:rtl w:val="0"/>
        </w:rPr>
        <w:t xml:space="preserve">Adiante, a quebra de decoro seria uma ação que não esteja conforme com a conduta esperada dos parlamentares, assim como entende-se por quebra de decoro, pelo mesmo doutrinador Alexandre de Moraes (2024, p. 520), “[...] o abuso das prerrogativas asseguradas a membro do Congresso Nacional ou a percepção de vantagens indevidas [...]”. </w:t>
      </w:r>
    </w:p>
    <w:p w:rsidR="00000000" w:rsidDel="00000000" w:rsidP="00000000" w:rsidRDefault="00000000" w:rsidRPr="00000000" w14:paraId="000000DF">
      <w:pPr>
        <w:rPr/>
      </w:pPr>
      <w:r w:rsidDel="00000000" w:rsidR="00000000" w:rsidRPr="00000000">
        <w:rPr>
          <w:rtl w:val="0"/>
        </w:rPr>
        <w:t xml:space="preserve">Portanto cabe ao Poder Legislativo que, por certos atos, venha a violar os princípios éticos e morais ou adotar qualquer atitude que desonre a honra, integridade ou a confiança de seus representantes perante a sociedade. Tais condutas podem incluir corrupção, abuso de poder, uso indevido de recursos públicos, falta de respeito às instituições entre outros que possa vir a comprometer a imagem e a legitimidade do Parlamento. </w:t>
      </w:r>
    </w:p>
    <w:p w:rsidR="00000000" w:rsidDel="00000000" w:rsidP="00000000" w:rsidRDefault="00000000" w:rsidRPr="00000000" w14:paraId="000000E0">
      <w:pPr>
        <w:rPr/>
      </w:pPr>
      <w:r w:rsidDel="00000000" w:rsidR="00000000" w:rsidRPr="00000000">
        <w:rPr>
          <w:rtl w:val="0"/>
        </w:rPr>
        <w:t xml:space="preserve">E também a imunidade parlamentar, que é uma garantia constitucional assegurada aos detentores de mandato parlamentar, protege-os no exercício de suas funções. Durante o exercício de suas atividades legislativas, eles não podem ser responsabilizados por opiniões, palavras, votos ou posições tomadas no cumprimento de suas atribuições. Essa imunidade visa garantir o desempenho de suas funções, permitindo que atuem sem medo de retaliações jurídicas por suas ações enquanto parlamentares, previsto na Constituição Federal no seu artigo 53: “Art. 53. Os Deputados e Senadores são invioláveis, civil e penalmente, por quaisquer de suas opiniões, palavras e votos [...]”.</w:t>
      </w:r>
    </w:p>
    <w:p w:rsidR="00000000" w:rsidDel="00000000" w:rsidP="00000000" w:rsidRDefault="00000000" w:rsidRPr="00000000" w14:paraId="000000E1">
      <w:pPr>
        <w:rPr/>
      </w:pPr>
      <w:r w:rsidDel="00000000" w:rsidR="00000000" w:rsidRPr="00000000">
        <w:rPr>
          <w:rtl w:val="0"/>
        </w:rPr>
        <w:t xml:space="preserve">Portanto, não é o caso do deputado federal Jacob, que foi ao exterior por motivos de interesses pessoais, não podendo usufruir dessa imunidade, sendo previsto esse ato pelo doutrinador Pedro Lenza em seu livro de Direito Constitucional Coleção Esquematizada (2024, pág. 573), onde o mesmo definiu quando pode usufruir da imunidade parlamentar:</w:t>
      </w:r>
    </w:p>
    <w:p w:rsidR="00000000" w:rsidDel="00000000" w:rsidP="00000000" w:rsidRDefault="00000000" w:rsidRPr="00000000" w14:paraId="000000E2">
      <w:pPr>
        <w:spacing w:line="240" w:lineRule="auto"/>
        <w:ind w:left="2268" w:firstLine="0"/>
        <w:rPr>
          <w:color w:val="000000"/>
          <w:sz w:val="20"/>
          <w:szCs w:val="20"/>
        </w:rPr>
      </w:pPr>
      <w:r w:rsidDel="00000000" w:rsidR="00000000" w:rsidRPr="00000000">
        <w:rPr>
          <w:color w:val="000000"/>
          <w:sz w:val="20"/>
          <w:szCs w:val="20"/>
          <w:rtl w:val="0"/>
        </w:rPr>
        <w:t xml:space="preserve">Prevista no art. 53, caput, a imunidade material garante que os parlamentares federais são invioláveis, civil e penalmente, por quaisquer de suas opiniões, palavras e votos, </w:t>
      </w:r>
      <w:r w:rsidDel="00000000" w:rsidR="00000000" w:rsidRPr="00000000">
        <w:rPr>
          <w:b w:val="1"/>
          <w:color w:val="000000"/>
          <w:sz w:val="20"/>
          <w:szCs w:val="20"/>
          <w:rtl w:val="0"/>
        </w:rPr>
        <w:t xml:space="preserve">desde que proferidos em razão de suas funções parlamentares, no exercício e relacionados ao mandato</w:t>
      </w:r>
      <w:r w:rsidDel="00000000" w:rsidR="00000000" w:rsidRPr="00000000">
        <w:rPr>
          <w:color w:val="000000"/>
          <w:sz w:val="20"/>
          <w:szCs w:val="20"/>
          <w:rtl w:val="0"/>
        </w:rPr>
        <w:t xml:space="preserve"> (trata-se de manifestações que possuem nexo de causalidade com a atividade parlamentar), não se restringindo ao âmbito do Congresso Nacional. </w:t>
      </w:r>
      <w:r w:rsidDel="00000000" w:rsidR="00000000" w:rsidRPr="00000000">
        <w:rPr>
          <w:b w:val="1"/>
          <w:color w:val="000000"/>
          <w:sz w:val="20"/>
          <w:szCs w:val="20"/>
          <w:rtl w:val="0"/>
        </w:rPr>
        <w:t xml:space="preserve">Assim, mesmo que um parlamentar esteja fora do Congresso Nacional, mas exercendo sua função parlamentar federal, em qualquer lugar do território nacional estará resguardado, não praticando qualquer crime por sua opinião, palavra ou voto. </w:t>
      </w:r>
      <w:r w:rsidDel="00000000" w:rsidR="00000000" w:rsidRPr="00000000">
        <w:rPr>
          <w:color w:val="000000"/>
          <w:sz w:val="20"/>
          <w:szCs w:val="20"/>
          <w:rtl w:val="0"/>
        </w:rPr>
        <w:t xml:space="preserve">(Grifo nosso).</w:t>
      </w:r>
    </w:p>
    <w:p w:rsidR="00000000" w:rsidDel="00000000" w:rsidP="00000000" w:rsidRDefault="00000000" w:rsidRPr="00000000" w14:paraId="000000E3">
      <w:pPr>
        <w:rPr/>
      </w:pPr>
      <w:r w:rsidDel="00000000" w:rsidR="00000000" w:rsidRPr="00000000">
        <w:rPr>
          <w:rtl w:val="0"/>
        </w:rPr>
      </w:r>
    </w:p>
    <w:p w:rsidR="00000000" w:rsidDel="00000000" w:rsidP="00000000" w:rsidRDefault="00000000" w:rsidRPr="00000000" w14:paraId="000000E4">
      <w:pPr>
        <w:rPr/>
      </w:pPr>
      <w:r w:rsidDel="00000000" w:rsidR="00000000" w:rsidRPr="00000000">
        <w:rPr>
          <w:rtl w:val="0"/>
        </w:rPr>
        <w:t xml:space="preserve">Embora o consulente seja detentor de imunidade parlamentar, essa imunidade não o exime de ser processado por quebra de decoro parlamentar, podendo, inclusive, resultar na perda do mandato. Tal previsão está contida no artigo 55, inciso II, da Constituição Federal, que dispõe: “Perderá o mandato o Deputado ou Senador cujo procedimento for declarado incompatível com o decoro parlamentar”.</w:t>
      </w:r>
    </w:p>
    <w:p w:rsidR="00000000" w:rsidDel="00000000" w:rsidP="00000000" w:rsidRDefault="00000000" w:rsidRPr="00000000" w14:paraId="000000E5">
      <w:pPr>
        <w:rPr/>
      </w:pPr>
      <w:r w:rsidDel="00000000" w:rsidR="00000000" w:rsidRPr="00000000">
        <w:rPr>
          <w:rtl w:val="0"/>
        </w:rPr>
        <w:t xml:space="preserve">Contudo, se o consulente vier a ser processado por quebra de decoro parlamentar, poderá perder seus direitos políticos caso o processo transite em julgado com sentença condenatória, conforme mencionado anteriormente no inciso III do artigo 15 da Constituição Federal.</w:t>
      </w:r>
    </w:p>
    <w:p w:rsidR="00000000" w:rsidDel="00000000" w:rsidP="00000000" w:rsidRDefault="00000000" w:rsidRPr="00000000" w14:paraId="000000E6">
      <w:pPr>
        <w:rPr/>
      </w:pPr>
      <w:r w:rsidDel="00000000" w:rsidR="00000000" w:rsidRPr="00000000">
        <w:rPr>
          <w:rtl w:val="0"/>
        </w:rPr>
        <w:t xml:space="preserve">Conforme o acórdão do Supremo Tribunal Federal (STF) no julgamento do AP 396, em 26 de julho de 2013, relatado pela Ministra Cármen Lúcia, tem-se o seguinte:</w:t>
      </w:r>
    </w:p>
    <w:p w:rsidR="00000000" w:rsidDel="00000000" w:rsidP="00000000" w:rsidRDefault="00000000" w:rsidRPr="00000000" w14:paraId="000000E7">
      <w:pPr>
        <w:spacing w:line="240" w:lineRule="auto"/>
        <w:ind w:left="2268" w:firstLine="0"/>
        <w:rPr/>
      </w:pPr>
      <w:r w:rsidDel="00000000" w:rsidR="00000000" w:rsidRPr="00000000">
        <w:rPr>
          <w:rtl w:val="0"/>
        </w:rPr>
        <w:t xml:space="preserve">[...] por maioria, em resolver a questão de ordem no sentido de que, determinada a suspensão ou a cassação dos direitos políticos, tanto a suspensão quanto a perda do cargo são medidas decorrentes daquela decisão e imediatamente exequíveis após o trânsito em julgado da condenação criminal, não importando o exercício ou não de cargo eletivo no momento do julgamento, nos termos do voto da Relatora. [...] (grifo nosso)</w:t>
      </w:r>
    </w:p>
    <w:p w:rsidR="00000000" w:rsidDel="00000000" w:rsidP="00000000" w:rsidRDefault="00000000" w:rsidRPr="00000000" w14:paraId="000000E8">
      <w:pPr>
        <w:rPr/>
      </w:pPr>
      <w:r w:rsidDel="00000000" w:rsidR="00000000" w:rsidRPr="00000000">
        <w:rPr>
          <w:rtl w:val="0"/>
        </w:rPr>
        <w:t xml:space="preserve"> </w:t>
      </w:r>
    </w:p>
    <w:p w:rsidR="00000000" w:rsidDel="00000000" w:rsidP="00000000" w:rsidRDefault="00000000" w:rsidRPr="00000000" w14:paraId="000000E9">
      <w:pPr>
        <w:rPr/>
      </w:pPr>
      <w:r w:rsidDel="00000000" w:rsidR="00000000" w:rsidRPr="00000000">
        <w:rPr>
          <w:rtl w:val="0"/>
        </w:rPr>
        <w:t xml:space="preserve">Mesmo que o consulente venha a renunciar ao seu mandato de deputado federal, poderá, ainda assim, ter seus direitos políticos suspensos. Isso se deve à decisão já anteriormente mencionada do Supremo Tribunal Federal (STF) no julgamento do Agravo de Instrumento nº 396, em 26 de julho de 2013, relatado pela Ministra Cármen Lúcia, que prevê a renúncia como uma forma de subterfúgio para evitar a aplicação de uma condenação penal:</w:t>
      </w:r>
    </w:p>
    <w:p w:rsidR="00000000" w:rsidDel="00000000" w:rsidP="00000000" w:rsidRDefault="00000000" w:rsidRPr="00000000" w14:paraId="000000EA">
      <w:pPr>
        <w:spacing w:line="240" w:lineRule="auto"/>
        <w:ind w:left="2268" w:firstLine="0"/>
        <w:rPr>
          <w:color w:val="000000"/>
          <w:sz w:val="20"/>
          <w:szCs w:val="20"/>
        </w:rPr>
      </w:pPr>
      <w:r w:rsidDel="00000000" w:rsidR="00000000" w:rsidRPr="00000000">
        <w:rPr>
          <w:color w:val="000000"/>
          <w:sz w:val="20"/>
          <w:szCs w:val="20"/>
          <w:rtl w:val="0"/>
        </w:rPr>
        <w:t xml:space="preserve">[...]1. </w:t>
      </w:r>
      <w:r w:rsidDel="00000000" w:rsidR="00000000" w:rsidRPr="00000000">
        <w:rPr>
          <w:b w:val="1"/>
          <w:color w:val="000000"/>
          <w:sz w:val="20"/>
          <w:szCs w:val="20"/>
          <w:rtl w:val="0"/>
        </w:rPr>
        <w:t xml:space="preserve">Renúncia de mandato</w:t>
      </w:r>
      <w:r w:rsidDel="00000000" w:rsidR="00000000" w:rsidRPr="00000000">
        <w:rPr>
          <w:color w:val="000000"/>
          <w:sz w:val="20"/>
          <w:szCs w:val="20"/>
          <w:rtl w:val="0"/>
        </w:rPr>
        <w:t xml:space="preserve">: ato legítimo. </w:t>
      </w:r>
      <w:r w:rsidDel="00000000" w:rsidR="00000000" w:rsidRPr="00000000">
        <w:rPr>
          <w:b w:val="1"/>
          <w:color w:val="000000"/>
          <w:sz w:val="20"/>
          <w:szCs w:val="20"/>
          <w:rtl w:val="0"/>
        </w:rPr>
        <w:t xml:space="preserve">Não se presta, porém, a ser utilizada como subterfúgio para deslocamento de competência constitucionalmente</w:t>
      </w:r>
      <w:r w:rsidDel="00000000" w:rsidR="00000000" w:rsidRPr="00000000">
        <w:rPr>
          <w:color w:val="000000"/>
          <w:sz w:val="20"/>
          <w:szCs w:val="20"/>
          <w:rtl w:val="0"/>
        </w:rPr>
        <w:t xml:space="preserve"> definidas, que não podem ser objeto de escolha. </w:t>
      </w:r>
      <w:r w:rsidDel="00000000" w:rsidR="00000000" w:rsidRPr="00000000">
        <w:rPr>
          <w:b w:val="1"/>
          <w:color w:val="000000"/>
          <w:sz w:val="20"/>
          <w:szCs w:val="20"/>
          <w:rtl w:val="0"/>
        </w:rPr>
        <w:t xml:space="preserve">Impossibilidade de ser aproveitada como expediente para impedir o julgamento em tempo à absolvição ou à condenação e, neste caso, à definição de penas</w:t>
      </w:r>
      <w:r w:rsidDel="00000000" w:rsidR="00000000" w:rsidRPr="00000000">
        <w:rPr>
          <w:color w:val="000000"/>
          <w:sz w:val="20"/>
          <w:szCs w:val="20"/>
          <w:rtl w:val="0"/>
        </w:rPr>
        <w:t xml:space="preserve">. [...] (Grifo nosso).</w:t>
      </w:r>
    </w:p>
    <w:p w:rsidR="00000000" w:rsidDel="00000000" w:rsidP="00000000" w:rsidRDefault="00000000" w:rsidRPr="00000000" w14:paraId="000000EB">
      <w:pPr>
        <w:rPr/>
      </w:pPr>
      <w:r w:rsidDel="00000000" w:rsidR="00000000" w:rsidRPr="00000000">
        <w:rPr>
          <w:rtl w:val="0"/>
        </w:rPr>
      </w:r>
    </w:p>
    <w:p w:rsidR="00000000" w:rsidDel="00000000" w:rsidP="00000000" w:rsidRDefault="00000000" w:rsidRPr="00000000" w14:paraId="000000EC">
      <w:pPr>
        <w:rPr/>
      </w:pPr>
      <w:sdt>
        <w:sdtPr>
          <w:tag w:val="goog_rdk_2"/>
        </w:sdtPr>
        <w:sdtContent>
          <w:commentRangeStart w:id="2"/>
        </w:sdtContent>
      </w:sdt>
      <w:r w:rsidDel="00000000" w:rsidR="00000000" w:rsidRPr="00000000">
        <w:rPr>
          <w:rtl w:val="0"/>
        </w:rPr>
        <w:t xml:space="preserve">Portanto, mesmo que o consulente renuncie ao mandato como forma de escapar de uma suposta condenação penal que possa transitar em julgado no futuro, essa renúncia não impedirá a suspensão de seus direitos políticos.</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ED">
      <w:pPr>
        <w:rPr/>
      </w:pPr>
      <w:r w:rsidDel="00000000" w:rsidR="00000000" w:rsidRPr="00000000">
        <w:rPr>
          <w:rtl w:val="0"/>
        </w:rPr>
        <w:t xml:space="preserve">Contudo, conforme mencionado anteriormente, o Deputado Federal não perderá seus direitos políticos, pois ele não cometeu nenhuma infração penal aqui no Brasil, já que o porte de 40 gramas foi descriminalizado como mencionado anteriormente. Além do deputado não poder ser extraditado por ser brasileiro nato, utiliza-se da teoria da ambiguidade que diz que o ato praticado em outro país ou no Brasil, a pessoa somente poderá ser extraditada para cumprir sua pena caso em ambos países seja punida determinada conduta. Assim sendo, o indivíduo não enfrentará processo criminal em razão desse ato, o que implica que não se configurará a hipótese de perda ou suspensão de seus direitos políticos.</w:t>
      </w:r>
    </w:p>
    <w:p w:rsidR="00000000" w:rsidDel="00000000" w:rsidP="00000000" w:rsidRDefault="00000000" w:rsidRPr="00000000" w14:paraId="000000EE">
      <w:pPr>
        <w:spacing w:after="200" w:lineRule="auto"/>
        <w:ind w:firstLine="709"/>
        <w:rPr/>
      </w:pPr>
      <w:r w:rsidDel="00000000" w:rsidR="00000000" w:rsidRPr="00000000">
        <w:rPr>
          <w:rtl w:val="0"/>
        </w:rPr>
      </w:r>
    </w:p>
    <w:p w:rsidR="00000000" w:rsidDel="00000000" w:rsidP="00000000" w:rsidRDefault="00000000" w:rsidRPr="00000000" w14:paraId="000000EF">
      <w:pPr>
        <w:spacing w:after="200" w:lineRule="auto"/>
        <w:ind w:firstLine="0"/>
        <w:rPr>
          <w:b w:val="1"/>
          <w:sz w:val="28"/>
          <w:szCs w:val="28"/>
        </w:rPr>
      </w:pPr>
      <w:r w:rsidDel="00000000" w:rsidR="00000000" w:rsidRPr="00000000">
        <w:rPr>
          <w:b w:val="1"/>
          <w:sz w:val="28"/>
          <w:szCs w:val="28"/>
          <w:rtl w:val="0"/>
        </w:rPr>
        <w:t xml:space="preserve">2.4. DA INJÚRIA</w:t>
      </w:r>
    </w:p>
    <w:p w:rsidR="00000000" w:rsidDel="00000000" w:rsidP="00000000" w:rsidRDefault="00000000" w:rsidRPr="00000000" w14:paraId="000000F0">
      <w:pPr>
        <w:rPr/>
      </w:pPr>
      <w:r w:rsidDel="00000000" w:rsidR="00000000" w:rsidRPr="00000000">
        <w:rPr>
          <w:rtl w:val="0"/>
        </w:rPr>
        <w:t xml:space="preserve">Finalmente, no que diz respeito à perda dos direitos políticos do consulente em razão de possível condenação criminal pela prática de injúria, faz-se necessário, primeiramente, entender que, como já frisado, é cabível que o parlamentar responda por tal delito, tendo em vista a regra do art. 53 da Constituição Federal, pois, conforme explica Barroso em seu livro Curso de Direito Constitucional Contemporâneo, ( 2024, p. 640):</w:t>
      </w:r>
    </w:p>
    <w:p w:rsidR="00000000" w:rsidDel="00000000" w:rsidP="00000000" w:rsidRDefault="00000000" w:rsidRPr="00000000" w14:paraId="000000F1">
      <w:pPr>
        <w:spacing w:line="240" w:lineRule="auto"/>
        <w:ind w:left="2268" w:firstLine="0"/>
        <w:rPr>
          <w:color w:val="000000"/>
          <w:sz w:val="20"/>
          <w:szCs w:val="20"/>
        </w:rPr>
      </w:pPr>
      <w:r w:rsidDel="00000000" w:rsidR="00000000" w:rsidRPr="00000000">
        <w:rPr>
          <w:color w:val="000000"/>
          <w:sz w:val="20"/>
          <w:szCs w:val="20"/>
          <w:rtl w:val="0"/>
        </w:rPr>
        <w:t xml:space="preserve">O art. 53, caput, da CF, prevê que os deputados e senadores não podem ser responsabilizados em âmbito civil ou penal pelas opiniões, palavras e votos proferidos durante o exercício da função parlamentar (legislação, fiscalização e debate). Dessa forma, o regime de inviolabilidade reforça a liberdade de expressão dos congressistas, ao excluir suas manifestações da incidência de crimes de opinião (injúria, calúnia ou difamação) ou do pagamento de indenizações em processos civis. Para tanto, é imprescindível que as opiniões, palavras e votos tenham sido proferidos no exercício do cargo ou em razão dele. </w:t>
      </w:r>
      <w:r w:rsidDel="00000000" w:rsidR="00000000" w:rsidRPr="00000000">
        <w:rPr>
          <w:b w:val="1"/>
          <w:color w:val="000000"/>
          <w:sz w:val="20"/>
          <w:szCs w:val="20"/>
          <w:rtl w:val="0"/>
        </w:rPr>
        <w:t xml:space="preserve">Não precisam, necessariamente, ter sido praticados dentro das instalações do Congresso Nacional, mas devem ser reconduzidos às suas atividades de membro do Poder Legislativo</w:t>
      </w:r>
      <w:r w:rsidDel="00000000" w:rsidR="00000000" w:rsidRPr="00000000">
        <w:rPr>
          <w:color w:val="000000"/>
          <w:sz w:val="20"/>
          <w:szCs w:val="20"/>
          <w:rtl w:val="0"/>
        </w:rPr>
        <w:t xml:space="preserve">. (grifo nosso)</w:t>
      </w:r>
    </w:p>
    <w:p w:rsidR="00000000" w:rsidDel="00000000" w:rsidP="00000000" w:rsidRDefault="00000000" w:rsidRPr="00000000" w14:paraId="000000F2">
      <w:pPr>
        <w:rPr/>
      </w:pPr>
      <w:r w:rsidDel="00000000" w:rsidR="00000000" w:rsidRPr="00000000">
        <w:rPr>
          <w:rtl w:val="0"/>
        </w:rPr>
      </w:r>
    </w:p>
    <w:p w:rsidR="00000000" w:rsidDel="00000000" w:rsidP="00000000" w:rsidRDefault="00000000" w:rsidRPr="00000000" w14:paraId="000000F3">
      <w:pPr>
        <w:rPr/>
      </w:pPr>
      <w:r w:rsidDel="00000000" w:rsidR="00000000" w:rsidRPr="00000000">
        <w:rPr>
          <w:rtl w:val="0"/>
        </w:rPr>
        <w:t xml:space="preserve">Desse modo, não há a incidência da chamada “imunidade parlamentar” quando o congressista houver emitido, fora da assembleia legislativa, votos, palavras e opiniões que não possuam relação com a função parlamentar, como fez Jacob.</w:t>
      </w:r>
    </w:p>
    <w:p w:rsidR="00000000" w:rsidDel="00000000" w:rsidP="00000000" w:rsidRDefault="00000000" w:rsidRPr="00000000" w14:paraId="000000F4">
      <w:pPr>
        <w:rPr/>
      </w:pPr>
      <w:r w:rsidDel="00000000" w:rsidR="00000000" w:rsidRPr="00000000">
        <w:rPr>
          <w:rtl w:val="0"/>
        </w:rPr>
        <w:t xml:space="preserve">Tal entendimento tem se consolidado na jurisprudência dos tribunais superiores, como ilustram os seguintes julgados:</w:t>
      </w:r>
    </w:p>
    <w:p w:rsidR="00000000" w:rsidDel="00000000" w:rsidP="00000000" w:rsidRDefault="00000000" w:rsidRPr="00000000" w14:paraId="000000F5">
      <w:pPr>
        <w:spacing w:line="240" w:lineRule="auto"/>
        <w:ind w:left="2268" w:firstLine="0"/>
        <w:rPr/>
      </w:pPr>
      <w:r w:rsidDel="00000000" w:rsidR="00000000" w:rsidRPr="00000000">
        <w:rPr>
          <w:color w:val="000000"/>
          <w:sz w:val="20"/>
          <w:szCs w:val="20"/>
          <w:rtl w:val="0"/>
        </w:rPr>
        <w:t xml:space="preserve">AGRAVO INTERNO NO RECURSO ESPECIAL. RESPONSABILIDADE CIVIL. DANOS MORAIS. IMUNIDADE. DEPUTADO FEDERAL. REEXAME DO ACERVO FÁTICO-PROBATÓRIO DOS AUTOS. SUMULA N. 7 DO STJ. AGRAVO INTERNO DESPROVIDO.</w:t>
      </w:r>
      <w:r w:rsidDel="00000000" w:rsidR="00000000" w:rsidRPr="00000000">
        <w:rPr>
          <w:rtl w:val="0"/>
        </w:rPr>
      </w:r>
    </w:p>
    <w:p w:rsidR="00000000" w:rsidDel="00000000" w:rsidP="00000000" w:rsidRDefault="00000000" w:rsidRPr="00000000" w14:paraId="000000F6">
      <w:pPr>
        <w:spacing w:line="240" w:lineRule="auto"/>
        <w:ind w:left="2268" w:firstLine="0"/>
        <w:rPr/>
      </w:pPr>
      <w:r w:rsidDel="00000000" w:rsidR="00000000" w:rsidRPr="00000000">
        <w:rPr>
          <w:color w:val="000000"/>
          <w:sz w:val="20"/>
          <w:szCs w:val="20"/>
          <w:rtl w:val="0"/>
        </w:rPr>
        <w:t xml:space="preserve">1. </w:t>
      </w:r>
      <w:r w:rsidDel="00000000" w:rsidR="00000000" w:rsidRPr="00000000">
        <w:rPr>
          <w:b w:val="1"/>
          <w:color w:val="000000"/>
          <w:sz w:val="20"/>
          <w:szCs w:val="20"/>
          <w:rtl w:val="0"/>
        </w:rPr>
        <w:t xml:space="preserve">A imunidade parlamentar não é absoluta, pois, conforme jurisprudência do STF, "a inviolabilidade dos Deputados Federais e Senadores, por opiniões palavras e votos, prevista no art. 53 da Constituição da República, é inaplicável a crimes contra a honra cometidos em situação que não guarda liame com o exercício do mandato"</w:t>
      </w:r>
      <w:r w:rsidDel="00000000" w:rsidR="00000000" w:rsidRPr="00000000">
        <w:rPr>
          <w:color w:val="000000"/>
          <w:sz w:val="20"/>
          <w:szCs w:val="20"/>
          <w:rtl w:val="0"/>
        </w:rPr>
        <w:t xml:space="preserve">.</w:t>
      </w:r>
      <w:r w:rsidDel="00000000" w:rsidR="00000000" w:rsidRPr="00000000">
        <w:rPr>
          <w:rtl w:val="0"/>
        </w:rPr>
      </w:r>
    </w:p>
    <w:p w:rsidR="00000000" w:rsidDel="00000000" w:rsidP="00000000" w:rsidRDefault="00000000" w:rsidRPr="00000000" w14:paraId="000000F7">
      <w:pPr>
        <w:spacing w:line="240" w:lineRule="auto"/>
        <w:ind w:left="2268" w:firstLine="0"/>
        <w:rPr/>
      </w:pPr>
      <w:r w:rsidDel="00000000" w:rsidR="00000000" w:rsidRPr="00000000">
        <w:rPr>
          <w:color w:val="000000"/>
          <w:sz w:val="20"/>
          <w:szCs w:val="20"/>
          <w:rtl w:val="0"/>
        </w:rPr>
        <w:t xml:space="preserve">2. A pretensão de que seja reavaliada a indenização exigiria o reexame de provas, o que é vedado em recurso especial, em face do óbice contido na Súmula 7 do STJ.</w:t>
      </w:r>
      <w:r w:rsidDel="00000000" w:rsidR="00000000" w:rsidRPr="00000000">
        <w:rPr>
          <w:rtl w:val="0"/>
        </w:rPr>
      </w:r>
    </w:p>
    <w:p w:rsidR="00000000" w:rsidDel="00000000" w:rsidP="00000000" w:rsidRDefault="00000000" w:rsidRPr="00000000" w14:paraId="000000F8">
      <w:pPr>
        <w:spacing w:line="240" w:lineRule="auto"/>
        <w:ind w:left="2268" w:firstLine="0"/>
        <w:rPr/>
      </w:pPr>
      <w:r w:rsidDel="00000000" w:rsidR="00000000" w:rsidRPr="00000000">
        <w:rPr>
          <w:color w:val="000000"/>
          <w:sz w:val="20"/>
          <w:szCs w:val="20"/>
          <w:rtl w:val="0"/>
        </w:rPr>
        <w:t xml:space="preserve">3. Agravo interno desprovido.</w:t>
      </w:r>
      <w:r w:rsidDel="00000000" w:rsidR="00000000" w:rsidRPr="00000000">
        <w:rPr>
          <w:rtl w:val="0"/>
        </w:rPr>
      </w:r>
    </w:p>
    <w:p w:rsidR="00000000" w:rsidDel="00000000" w:rsidP="00000000" w:rsidRDefault="00000000" w:rsidRPr="00000000" w14:paraId="000000F9">
      <w:pPr>
        <w:spacing w:line="240" w:lineRule="auto"/>
        <w:ind w:left="2268" w:firstLine="0"/>
        <w:rPr/>
      </w:pPr>
      <w:r w:rsidDel="00000000" w:rsidR="00000000" w:rsidRPr="00000000">
        <w:rPr>
          <w:color w:val="000000"/>
          <w:sz w:val="20"/>
          <w:szCs w:val="20"/>
          <w:rtl w:val="0"/>
        </w:rPr>
        <w:t xml:space="preserve">(AgInt no REsp n. 1.610.849/SP, relator Ministro João Otávio de Noronha, Quarta Turma, julgado em 3/4/2023, DJe de 11/4/2023.). (grifo nosso)</w:t>
      </w:r>
      <w:r w:rsidDel="00000000" w:rsidR="00000000" w:rsidRPr="00000000">
        <w:rPr>
          <w:rtl w:val="0"/>
        </w:rPr>
      </w:r>
    </w:p>
    <w:p w:rsidR="00000000" w:rsidDel="00000000" w:rsidP="00000000" w:rsidRDefault="00000000" w:rsidRPr="00000000" w14:paraId="000000FA">
      <w:pPr>
        <w:spacing w:line="240" w:lineRule="auto"/>
        <w:ind w:left="2268" w:firstLine="0"/>
        <w:rPr/>
      </w:pPr>
      <w:r w:rsidDel="00000000" w:rsidR="00000000" w:rsidRPr="00000000">
        <w:rPr>
          <w:rtl w:val="0"/>
        </w:rPr>
      </w:r>
    </w:p>
    <w:p w:rsidR="00000000" w:rsidDel="00000000" w:rsidP="00000000" w:rsidRDefault="00000000" w:rsidRPr="00000000" w14:paraId="000000FB">
      <w:pPr>
        <w:spacing w:line="240" w:lineRule="auto"/>
        <w:ind w:left="2268" w:firstLine="0"/>
        <w:rPr/>
      </w:pPr>
      <w:r w:rsidDel="00000000" w:rsidR="00000000" w:rsidRPr="00000000">
        <w:rPr>
          <w:color w:val="000000"/>
          <w:sz w:val="20"/>
          <w:szCs w:val="20"/>
          <w:rtl w:val="0"/>
        </w:rPr>
        <w:t xml:space="preserve">PENAL E PROCESSUAL PENAL. QUEIXA-CRIME. OBSERVÂNCIA DOS ARTIGOS 41 E 395 DO CÓDIGO DE PROCESSO PENAL. PRESENÇA DE JUSTA CAUSA PARA A AÇÃO PENAL. NÃO INCIDÊNCIA DA IMUNIDADE MATERIAL (CF, ARTIGO 53, CAPUT). QUEIXA-CRIME APTA. NARRATIVA CLARA E EXPRESSA QUE SE AMOLDA À DESCRIÇÃO TÍPICA DO CRIME IMPUTADO. EXISTÊNCIA DE PROVA DA MATERIALIDADE E INDÍCIOS DE AUTORIA. RECEBIMENTO INTEGRAL DA QUEIXA-CRIME.</w:t>
      </w:r>
      <w:r w:rsidDel="00000000" w:rsidR="00000000" w:rsidRPr="00000000">
        <w:rPr>
          <w:rtl w:val="0"/>
        </w:rPr>
      </w:r>
    </w:p>
    <w:p w:rsidR="00000000" w:rsidDel="00000000" w:rsidP="00000000" w:rsidRDefault="00000000" w:rsidRPr="00000000" w14:paraId="000000FC">
      <w:pPr>
        <w:spacing w:line="240" w:lineRule="auto"/>
        <w:ind w:left="2268" w:firstLine="0"/>
        <w:rPr>
          <w:color w:val="000000"/>
          <w:sz w:val="20"/>
          <w:szCs w:val="20"/>
        </w:rPr>
      </w:pPr>
      <w:r w:rsidDel="00000000" w:rsidR="00000000" w:rsidRPr="00000000">
        <w:rPr>
          <w:color w:val="000000"/>
          <w:sz w:val="20"/>
          <w:szCs w:val="20"/>
          <w:rtl w:val="0"/>
        </w:rPr>
        <w:t xml:space="preserve">1.A queixa-crime expõe de forma compreensível e coerente os fatos e todos os requisitos exigidos, permitindo ao acusado a compreensão da imputação e, consequentemente, o pleno exercício do seu direito de defesa, como exigido por esta CORTE (AP 560, Rel. Min. DIAS TOFFOLI, Segunda Turma, DJe de 11/6/2015; INQ 3204, Rel. Min. GILMAR MENDES, Segunda Turma, DJe de 3/8/2015) [...].</w:t>
      </w:r>
    </w:p>
    <w:p w:rsidR="00000000" w:rsidDel="00000000" w:rsidP="00000000" w:rsidRDefault="00000000" w:rsidRPr="00000000" w14:paraId="000000FD">
      <w:pPr>
        <w:spacing w:line="240" w:lineRule="auto"/>
        <w:rPr>
          <w:color w:val="000000"/>
          <w:sz w:val="20"/>
          <w:szCs w:val="20"/>
        </w:rPr>
      </w:pPr>
      <w:r w:rsidDel="00000000" w:rsidR="00000000" w:rsidRPr="00000000">
        <w:rPr>
          <w:rtl w:val="0"/>
        </w:rPr>
      </w:r>
    </w:p>
    <w:p w:rsidR="00000000" w:rsidDel="00000000" w:rsidP="00000000" w:rsidRDefault="00000000" w:rsidRPr="00000000" w14:paraId="000000FE">
      <w:pPr>
        <w:spacing w:line="240" w:lineRule="auto"/>
        <w:ind w:left="2268" w:firstLine="0"/>
        <w:rPr/>
      </w:pPr>
      <w:r w:rsidDel="00000000" w:rsidR="00000000" w:rsidRPr="00000000">
        <w:rPr>
          <w:color w:val="000000"/>
          <w:sz w:val="20"/>
          <w:szCs w:val="20"/>
          <w:rtl w:val="0"/>
        </w:rPr>
        <w:t xml:space="preserve">4. Não incidência da imunidade parlamentar prevista no caput do artigo 53 da Constituição Federal. A jurisprudência da CORTE é pacífica no sentido de que </w:t>
      </w:r>
      <w:r w:rsidDel="00000000" w:rsidR="00000000" w:rsidRPr="00000000">
        <w:rPr>
          <w:b w:val="1"/>
          <w:color w:val="000000"/>
          <w:sz w:val="20"/>
          <w:szCs w:val="20"/>
          <w:rtl w:val="0"/>
        </w:rPr>
        <w:t xml:space="preserve">a garantia constitucional da imunidade parlamentar material somente incide no caso de as manifestações guardarem conexão com o desempenho da função legislativa ou que sejam proferidas em razão desta,</w:t>
      </w:r>
      <w:r w:rsidDel="00000000" w:rsidR="00000000" w:rsidRPr="00000000">
        <w:rPr>
          <w:color w:val="000000"/>
          <w:sz w:val="20"/>
          <w:szCs w:val="20"/>
          <w:rtl w:val="0"/>
        </w:rPr>
        <w:t xml:space="preserve"> não sendo possível utilizá-la como verdadeiro escudo protetivo para a prática de atividades ilícitas. Precedentes. Inexistência da inviolabilidade em relação às condutas típicas imputadas pela querelante ao querelado.</w:t>
      </w:r>
      <w:r w:rsidDel="00000000" w:rsidR="00000000" w:rsidRPr="00000000">
        <w:rPr>
          <w:rtl w:val="0"/>
        </w:rPr>
      </w:r>
    </w:p>
    <w:p w:rsidR="00000000" w:rsidDel="00000000" w:rsidP="00000000" w:rsidRDefault="00000000" w:rsidRPr="00000000" w14:paraId="000000FF">
      <w:pPr>
        <w:spacing w:line="240" w:lineRule="auto"/>
        <w:ind w:left="2268" w:firstLine="0"/>
        <w:rPr/>
      </w:pPr>
      <w:r w:rsidDel="00000000" w:rsidR="00000000" w:rsidRPr="00000000">
        <w:rPr>
          <w:color w:val="000000"/>
          <w:sz w:val="20"/>
          <w:szCs w:val="20"/>
          <w:rtl w:val="0"/>
        </w:rPr>
        <w:t xml:space="preserve">5. QUEIXA-CRIME INTEGRALMENTE RECEBIDA.</w:t>
      </w:r>
      <w:r w:rsidDel="00000000" w:rsidR="00000000" w:rsidRPr="00000000">
        <w:rPr>
          <w:rtl w:val="0"/>
        </w:rPr>
      </w:r>
    </w:p>
    <w:p w:rsidR="00000000" w:rsidDel="00000000" w:rsidP="00000000" w:rsidRDefault="00000000" w:rsidRPr="00000000" w14:paraId="00000100">
      <w:pPr>
        <w:spacing w:line="240" w:lineRule="auto"/>
        <w:ind w:left="2268" w:firstLine="0"/>
        <w:rPr/>
      </w:pPr>
      <w:r w:rsidDel="00000000" w:rsidR="00000000" w:rsidRPr="00000000">
        <w:rPr>
          <w:color w:val="000000"/>
          <w:sz w:val="20"/>
          <w:szCs w:val="20"/>
          <w:rtl w:val="0"/>
        </w:rPr>
        <w:t xml:space="preserve">(Pet 10001 AgR, Relator(a): DIAS TOFFOLI, Relator(a) p/ Acórdão: ALEXANDRE DE MORAES, Tribunal Pleno, julgado em 06-03-2023, PROCESSO ELETRÔNICO DJe-s/n  DIVULG 21-03-2023  PUBLIC 22-03-2023) (grifo nosso)</w:t>
      </w:r>
      <w:r w:rsidDel="00000000" w:rsidR="00000000" w:rsidRPr="00000000">
        <w:rPr>
          <w:rtl w:val="0"/>
        </w:rPr>
      </w:r>
    </w:p>
    <w:p w:rsidR="00000000" w:rsidDel="00000000" w:rsidP="00000000" w:rsidRDefault="00000000" w:rsidRPr="00000000" w14:paraId="00000101">
      <w:pPr>
        <w:spacing w:line="240" w:lineRule="auto"/>
        <w:ind w:left="2268" w:firstLine="0"/>
        <w:rPr/>
      </w:pPr>
      <w:r w:rsidDel="00000000" w:rsidR="00000000" w:rsidRPr="00000000">
        <w:rPr>
          <w:rtl w:val="0"/>
        </w:rPr>
      </w:r>
    </w:p>
    <w:p w:rsidR="00000000" w:rsidDel="00000000" w:rsidP="00000000" w:rsidRDefault="00000000" w:rsidRPr="00000000" w14:paraId="00000102">
      <w:pPr>
        <w:spacing w:line="240" w:lineRule="auto"/>
        <w:ind w:left="2268" w:firstLine="0"/>
        <w:rPr/>
      </w:pPr>
      <w:r w:rsidDel="00000000" w:rsidR="00000000" w:rsidRPr="00000000">
        <w:rPr>
          <w:color w:val="000000"/>
          <w:sz w:val="20"/>
          <w:szCs w:val="20"/>
          <w:rtl w:val="0"/>
        </w:rPr>
        <w:t xml:space="preserve">Agravo. Penal e processo penal. Queixa-crime por difamação e injúria. Liberdade de expressão e imunidade parlamentar. </w:t>
      </w:r>
      <w:r w:rsidDel="00000000" w:rsidR="00000000" w:rsidRPr="00000000">
        <w:rPr>
          <w:b w:val="1"/>
          <w:color w:val="000000"/>
          <w:sz w:val="20"/>
          <w:szCs w:val="20"/>
          <w:rtl w:val="0"/>
        </w:rPr>
        <w:t xml:space="preserve">Necessidade de vinculação com o exercício do mandato.</w:t>
      </w:r>
      <w:r w:rsidDel="00000000" w:rsidR="00000000" w:rsidRPr="00000000">
        <w:rPr>
          <w:color w:val="000000"/>
          <w:sz w:val="20"/>
          <w:szCs w:val="20"/>
          <w:rtl w:val="0"/>
        </w:rPr>
        <w:t xml:space="preserve"> Intuito manifestamente difamatório e injurioso das declarações do querelado. Doutrina e precedentes. Teoria funcional da imunidade parlamentar. Manifestações proferidas nas redes sociais. Provimento do recurso, com o recebimento da queixa-crime.</w:t>
      </w:r>
      <w:r w:rsidDel="00000000" w:rsidR="00000000" w:rsidRPr="00000000">
        <w:rPr>
          <w:rtl w:val="0"/>
        </w:rPr>
      </w:r>
    </w:p>
    <w:p w:rsidR="00000000" w:rsidDel="00000000" w:rsidP="00000000" w:rsidRDefault="00000000" w:rsidRPr="00000000" w14:paraId="00000103">
      <w:pPr>
        <w:spacing w:line="240" w:lineRule="auto"/>
        <w:ind w:left="2268" w:firstLine="0"/>
        <w:rPr/>
      </w:pPr>
      <w:r w:rsidDel="00000000" w:rsidR="00000000" w:rsidRPr="00000000">
        <w:rPr>
          <w:color w:val="000000"/>
          <w:sz w:val="20"/>
          <w:szCs w:val="20"/>
          <w:rtl w:val="0"/>
        </w:rPr>
        <w:t xml:space="preserve">(Pet 8242 AgR, Relator(a): CELSO DE MELLO, Relator(a) p/ Acórdão: GILMAR MENDES, Segunda Turma, julgado em 03-05-2022, PROCESSO ELETRÔNICO DJe-118  DIVULG 17-06-2022  PUBLIC 20-06-2022). (grifo nosso)</w:t>
      </w:r>
      <w:r w:rsidDel="00000000" w:rsidR="00000000" w:rsidRPr="00000000">
        <w:rPr>
          <w:rtl w:val="0"/>
        </w:rPr>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rPr/>
      </w:pPr>
      <w:r w:rsidDel="00000000" w:rsidR="00000000" w:rsidRPr="00000000">
        <w:rPr>
          <w:rtl w:val="0"/>
        </w:rPr>
        <w:t xml:space="preserve">Assim, no presente caso, não há incidência de tal imunidade em relação ao insulto proferido por Jacob, competindo o julgamento do consulente ao Supremo Tribunal Federal, conforme dispõe o art. 102, I, alínea “b” da Constituição Federal:</w:t>
      </w:r>
    </w:p>
    <w:p w:rsidR="00000000" w:rsidDel="00000000" w:rsidP="00000000" w:rsidRDefault="00000000" w:rsidRPr="00000000" w14:paraId="00000106">
      <w:pPr>
        <w:spacing w:line="240" w:lineRule="auto"/>
        <w:ind w:left="2268" w:firstLine="0"/>
        <w:rPr>
          <w:color w:val="000000"/>
          <w:sz w:val="20"/>
          <w:szCs w:val="20"/>
        </w:rPr>
      </w:pPr>
      <w:r w:rsidDel="00000000" w:rsidR="00000000" w:rsidRPr="00000000">
        <w:rPr>
          <w:color w:val="000000"/>
          <w:sz w:val="20"/>
          <w:szCs w:val="20"/>
          <w:rtl w:val="0"/>
        </w:rPr>
        <w:t xml:space="preserve">Art. 102. Compete ao Supremo Tribunal Federal, precipuamente, a guarda da Constituição, cabendo-lhe:</w:t>
      </w:r>
    </w:p>
    <w:p w:rsidR="00000000" w:rsidDel="00000000" w:rsidP="00000000" w:rsidRDefault="00000000" w:rsidRPr="00000000" w14:paraId="00000107">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108">
      <w:pPr>
        <w:spacing w:line="240" w:lineRule="auto"/>
        <w:ind w:left="2268" w:firstLine="0"/>
        <w:rPr>
          <w:color w:val="000000"/>
          <w:sz w:val="20"/>
          <w:szCs w:val="20"/>
        </w:rPr>
      </w:pPr>
      <w:r w:rsidDel="00000000" w:rsidR="00000000" w:rsidRPr="00000000">
        <w:rPr>
          <w:color w:val="000000"/>
          <w:sz w:val="20"/>
          <w:szCs w:val="20"/>
          <w:rtl w:val="0"/>
        </w:rPr>
        <w:t xml:space="preserve">I - processar e julgar, originariamente: [...]  </w:t>
      </w:r>
    </w:p>
    <w:p w:rsidR="00000000" w:rsidDel="00000000" w:rsidP="00000000" w:rsidRDefault="00000000" w:rsidRPr="00000000" w14:paraId="00000109">
      <w:pPr>
        <w:spacing w:line="240" w:lineRule="auto"/>
        <w:ind w:left="2268" w:firstLine="0"/>
        <w:rPr>
          <w:color w:val="000000"/>
          <w:sz w:val="20"/>
          <w:szCs w:val="20"/>
        </w:rPr>
      </w:pPr>
      <w:r w:rsidDel="00000000" w:rsidR="00000000" w:rsidRPr="00000000">
        <w:rPr>
          <w:color w:val="000000"/>
          <w:sz w:val="20"/>
          <w:szCs w:val="20"/>
          <w:rtl w:val="0"/>
        </w:rPr>
        <w:t xml:space="preserve">    </w:t>
      </w:r>
    </w:p>
    <w:p w:rsidR="00000000" w:rsidDel="00000000" w:rsidP="00000000" w:rsidRDefault="00000000" w:rsidRPr="00000000" w14:paraId="0000010A">
      <w:pPr>
        <w:spacing w:line="240" w:lineRule="auto"/>
        <w:ind w:left="2268" w:firstLine="0"/>
        <w:rPr>
          <w:color w:val="000000"/>
          <w:sz w:val="20"/>
          <w:szCs w:val="20"/>
        </w:rPr>
      </w:pPr>
      <w:r w:rsidDel="00000000" w:rsidR="00000000" w:rsidRPr="00000000">
        <w:rPr>
          <w:color w:val="000000"/>
          <w:sz w:val="20"/>
          <w:szCs w:val="20"/>
          <w:rtl w:val="0"/>
        </w:rPr>
        <w:t xml:space="preserve">b) nas infrações penais comuns, o Presidente da República, o Vice-Presidente, os membros do Congresso Nacional, seus próprios Ministros e o Procurador-Geral da República; [...]</w:t>
      </w:r>
    </w:p>
    <w:p w:rsidR="00000000" w:rsidDel="00000000" w:rsidP="00000000" w:rsidRDefault="00000000" w:rsidRPr="00000000" w14:paraId="0000010B">
      <w:pPr>
        <w:rPr/>
      </w:pPr>
      <w:r w:rsidDel="00000000" w:rsidR="00000000" w:rsidRPr="00000000">
        <w:rPr>
          <w:rtl w:val="0"/>
        </w:rPr>
      </w:r>
    </w:p>
    <w:p w:rsidR="00000000" w:rsidDel="00000000" w:rsidP="00000000" w:rsidRDefault="00000000" w:rsidRPr="00000000" w14:paraId="0000010C">
      <w:pPr>
        <w:rPr/>
      </w:pPr>
      <w:r w:rsidDel="00000000" w:rsidR="00000000" w:rsidRPr="00000000">
        <w:rPr>
          <w:rtl w:val="0"/>
        </w:rPr>
        <w:t xml:space="preserve">Nesse contexto, há de se considerar também a chamada “a imunidade processual” de Jacob, nos termos do art. 53, § 3º da Constituição, razão pela qual, uma vez recebida a denúncia, a Câmara dos Deputados poderá votar pela suspensão da ação penal:</w:t>
      </w:r>
    </w:p>
    <w:p w:rsidR="00000000" w:rsidDel="00000000" w:rsidP="00000000" w:rsidRDefault="00000000" w:rsidRPr="00000000" w14:paraId="0000010D">
      <w:pPr>
        <w:spacing w:line="240" w:lineRule="auto"/>
        <w:ind w:left="2268" w:firstLine="0"/>
        <w:rPr>
          <w:color w:val="000000"/>
          <w:sz w:val="20"/>
          <w:szCs w:val="20"/>
        </w:rPr>
      </w:pPr>
      <w:r w:rsidDel="00000000" w:rsidR="00000000" w:rsidRPr="00000000">
        <w:rPr>
          <w:color w:val="000000"/>
          <w:sz w:val="20"/>
          <w:szCs w:val="20"/>
          <w:rtl w:val="0"/>
        </w:rPr>
        <w:t xml:space="preserve">Art. 53 [...]</w:t>
      </w:r>
      <w:r w:rsidDel="00000000" w:rsidR="00000000" w:rsidRPr="00000000">
        <w:rPr>
          <w:rtl w:val="0"/>
        </w:rPr>
        <w:t xml:space="preserve"> </w:t>
      </w:r>
      <w:r w:rsidDel="00000000" w:rsidR="00000000" w:rsidRPr="00000000">
        <w:rPr>
          <w:color w:val="000000"/>
          <w:sz w:val="20"/>
          <w:szCs w:val="20"/>
          <w:rtl w:val="0"/>
        </w:rPr>
        <w:t xml:space="preserve">§ 3º Recebida a denúncia contra o Senador ou Deputado, por crime ocorrido após a diplomação, o Supremo Tribunal Federal dará ciência à Casa respectiva, que, por iniciativa de partido político nela representado e pelo voto da maioria de seus membros, poderá, até a decisão final, sustar o andamento da ação.</w:t>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t xml:space="preserve">Caso o consulente venha a ser condenado pelo crime de injúria em razão do insulto proferido contra o cidadão que o vaiou, pretende saber se manterá seus direitos políticos. </w:t>
      </w:r>
    </w:p>
    <w:p w:rsidR="00000000" w:rsidDel="00000000" w:rsidP="00000000" w:rsidRDefault="00000000" w:rsidRPr="00000000" w14:paraId="00000110">
      <w:pPr>
        <w:rPr/>
      </w:pPr>
      <w:r w:rsidDel="00000000" w:rsidR="00000000" w:rsidRPr="00000000">
        <w:rPr>
          <w:rtl w:val="0"/>
        </w:rPr>
        <w:t xml:space="preserve">Antes de mais nada, cumpre esclarecer que, como anteriormente mencionado, o art. 15 da Constituição Federal traz algumas hipóteses em virtude das quais poderá haver a perda dos direitos políticos de um cidadão. Quanto a tais possibilidades, discorre Moraes (2024, p.309):</w:t>
      </w:r>
    </w:p>
    <w:p w:rsidR="00000000" w:rsidDel="00000000" w:rsidP="00000000" w:rsidRDefault="00000000" w:rsidRPr="00000000" w14:paraId="00000111">
      <w:pPr>
        <w:spacing w:line="240" w:lineRule="auto"/>
        <w:ind w:left="2268" w:firstLine="0"/>
        <w:rPr>
          <w:color w:val="000000"/>
          <w:sz w:val="20"/>
          <w:szCs w:val="20"/>
        </w:rPr>
      </w:pPr>
      <w:r w:rsidDel="00000000" w:rsidR="00000000" w:rsidRPr="00000000">
        <w:rPr>
          <w:color w:val="000000"/>
          <w:sz w:val="20"/>
          <w:szCs w:val="20"/>
          <w:rtl w:val="0"/>
        </w:rPr>
        <w:t xml:space="preserve">A Constituição Federal não aponta as hipóteses de perda ou suspensão dos direitos políticos, porém a natureza, forma e, principalmente, efeitos delas possibilitam a diferenciação entre os casos de perda e suspensão.</w:t>
      </w:r>
    </w:p>
    <w:p w:rsidR="00000000" w:rsidDel="00000000" w:rsidP="00000000" w:rsidRDefault="00000000" w:rsidRPr="00000000" w14:paraId="00000112">
      <w:pPr>
        <w:spacing w:line="240" w:lineRule="auto"/>
        <w:ind w:left="2268" w:firstLine="0"/>
        <w:rPr>
          <w:color w:val="000000"/>
          <w:sz w:val="20"/>
          <w:szCs w:val="20"/>
        </w:rPr>
      </w:pPr>
      <w:r w:rsidDel="00000000" w:rsidR="00000000" w:rsidRPr="00000000">
        <w:rPr>
          <w:rtl w:val="0"/>
        </w:rPr>
      </w:r>
    </w:p>
    <w:p w:rsidR="00000000" w:rsidDel="00000000" w:rsidP="00000000" w:rsidRDefault="00000000" w:rsidRPr="00000000" w14:paraId="00000113">
      <w:pPr>
        <w:spacing w:line="240" w:lineRule="auto"/>
        <w:ind w:left="2268" w:firstLine="0"/>
        <w:rPr>
          <w:color w:val="000000"/>
          <w:sz w:val="20"/>
          <w:szCs w:val="20"/>
        </w:rPr>
      </w:pPr>
      <w:r w:rsidDel="00000000" w:rsidR="00000000" w:rsidRPr="00000000">
        <w:rPr>
          <w:color w:val="000000"/>
          <w:sz w:val="20"/>
          <w:szCs w:val="20"/>
          <w:rtl w:val="0"/>
        </w:rPr>
        <w:t xml:space="preserve">O art. 15 da Constituição Federal estabelece ser vedada a cassação de direitos políticos, cuja perda ou suspensão só se dará nos casos de cancelamento da naturalização por sentença transitada em julgado; incapacidade civil absoluta; condenação criminal transitada em julgado, enquanto durarem seus efeitos; recusa de cumprir obrigação a todos imposta ou prestação alternativa, nos termos do art. 5º, inc. VIII, e improbidade administrativa, nos termos do art. 37, § 4º.</w:t>
      </w:r>
    </w:p>
    <w:p w:rsidR="00000000" w:rsidDel="00000000" w:rsidP="00000000" w:rsidRDefault="00000000" w:rsidRPr="00000000" w14:paraId="00000114">
      <w:pPr>
        <w:rPr>
          <w:color w:val="000000"/>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t xml:space="preserve">Ademais, tratando-se da suspensão de direitos políticos como consequência de uma condenação penal transitada em julgado, também acrescentado pelo doutrinador Alexandre de Moraes em seu livro Direito Constitucional ( 2024, p.313):</w:t>
      </w:r>
    </w:p>
    <w:p w:rsidR="00000000" w:rsidDel="00000000" w:rsidP="00000000" w:rsidRDefault="00000000" w:rsidRPr="00000000" w14:paraId="00000116">
      <w:pPr>
        <w:spacing w:line="240" w:lineRule="auto"/>
        <w:ind w:left="2268" w:firstLine="0"/>
        <w:rPr>
          <w:sz w:val="20"/>
          <w:szCs w:val="20"/>
        </w:rPr>
      </w:pPr>
      <w:r w:rsidDel="00000000" w:rsidR="00000000" w:rsidRPr="00000000">
        <w:rPr>
          <w:sz w:val="20"/>
          <w:szCs w:val="20"/>
          <w:rtl w:val="0"/>
        </w:rPr>
        <w:t xml:space="preserve">Todos os sentenciados que sofrerem condenação criminal com trânsito em julgado estarão com seus direitos políticos suspensos até que ocorra a extinção da punibilidade, como consequência automática e inafastável da sentença condenatória. A duração dessa suspensão cessa com a já citada ocorrência da extinção da punibilidade, seja pelo cumprimento da pena, seja por qualquer outra das espécies previstas no Código Penal, independentemente de reabilitação ou de prova de reparação de danos (Súmula 9 do TSE: “A suspensão de direitos políticos decorrente de condenação criminal transitada em julgado cessa com o cumprimento ou a extinção da pena, independendo de reabilitação ou de prova de reparação dos danos”).</w:t>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rPr/>
      </w:pPr>
      <w:r w:rsidDel="00000000" w:rsidR="00000000" w:rsidRPr="00000000">
        <w:rPr>
          <w:rtl w:val="0"/>
        </w:rPr>
        <w:t xml:space="preserve">Assim, caso sofra uma condenação criminal pela prática de injúria, uma vez transitada em julgado, haverá a suspensão dos direitos políticos do consulente, a qual durará enquanto a sentença produzir seus efeitos.</w:t>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Arial" w:cs="Arial" w:eastAsia="Arial" w:hAnsi="Arial"/>
          <w:b w:val="1"/>
          <w:i w:val="0"/>
          <w:smallCaps w:val="0"/>
          <w:strike w:val="0"/>
          <w:color w:val="000000"/>
          <w:sz w:val="32"/>
          <w:szCs w:val="32"/>
          <w:u w:val="none"/>
          <w:shd w:fill="auto" w:val="clear"/>
          <w:vertAlign w:val="baseline"/>
        </w:rPr>
      </w:pPr>
      <w:r w:rsidDel="00000000" w:rsidR="00000000" w:rsidRPr="00000000">
        <w:rPr>
          <w:rFonts w:ascii="Arial" w:cs="Arial" w:eastAsia="Arial" w:hAnsi="Arial"/>
          <w:b w:val="1"/>
          <w:i w:val="0"/>
          <w:smallCaps w:val="0"/>
          <w:strike w:val="0"/>
          <w:color w:val="000000"/>
          <w:sz w:val="32"/>
          <w:szCs w:val="32"/>
          <w:u w:val="none"/>
          <w:shd w:fill="auto" w:val="clear"/>
          <w:vertAlign w:val="baseline"/>
          <w:rtl w:val="0"/>
        </w:rPr>
        <w:t xml:space="preserve">CONCLUSÃO</w:t>
      </w:r>
    </w:p>
    <w:p w:rsidR="00000000" w:rsidDel="00000000" w:rsidP="00000000" w:rsidRDefault="00000000" w:rsidRPr="00000000" w14:paraId="0000011B">
      <w:pPr>
        <w:rPr>
          <w:rFonts w:ascii="Verdana" w:cs="Verdana" w:eastAsia="Verdana" w:hAnsi="Verdana"/>
          <w:highlight w:val="yellow"/>
        </w:rPr>
      </w:pPr>
      <w:r w:rsidDel="00000000" w:rsidR="00000000" w:rsidRPr="00000000">
        <w:rPr>
          <w:rtl w:val="0"/>
        </w:rPr>
        <w:t xml:space="preserve">Portanto, uma tese de defesa brasileira para o Deputado Federal, seria utilizar da teoria bipartida, a qual é adotada pelo Brasi, em que seguindo essa teoria o agente não cometeu um crime, devido sua prática ser descriminalizada no Brasil, não sendo ilícita. Além ter o réu agido sob erro de proibição, se equivocando ao julgar uma ação, a qual pensava não ser proibida. </w:t>
      </w:r>
      <w:r w:rsidDel="00000000" w:rsidR="00000000" w:rsidRPr="00000000">
        <w:rPr>
          <w:rtl w:val="0"/>
        </w:rPr>
      </w:r>
    </w:p>
    <w:p w:rsidR="00000000" w:rsidDel="00000000" w:rsidP="00000000" w:rsidRDefault="00000000" w:rsidRPr="00000000" w14:paraId="0000011C">
      <w:pPr>
        <w:rPr>
          <w:rFonts w:ascii="Verdana" w:cs="Verdana" w:eastAsia="Verdana" w:hAnsi="Verdana"/>
          <w:highlight w:val="yellow"/>
        </w:rPr>
      </w:pPr>
      <w:r w:rsidDel="00000000" w:rsidR="00000000" w:rsidRPr="00000000">
        <w:rPr>
          <w:rtl w:val="0"/>
        </w:rPr>
        <w:t xml:space="preserve">Ele também não poderá ser extraditado, visto que, além de ser brasileiro nato, o pedido de extradição recai em fato descriminalizado pelo Estado em que ele se encontra, em conformidade com o princípio da identidade. </w:t>
      </w:r>
      <w:r w:rsidDel="00000000" w:rsidR="00000000" w:rsidRPr="00000000">
        <w:rPr>
          <w:rtl w:val="0"/>
        </w:rPr>
      </w:r>
    </w:p>
    <w:p w:rsidR="00000000" w:rsidDel="00000000" w:rsidP="00000000" w:rsidRDefault="00000000" w:rsidRPr="00000000" w14:paraId="0000011D">
      <w:pPr>
        <w:rPr/>
      </w:pPr>
      <w:r w:rsidDel="00000000" w:rsidR="00000000" w:rsidRPr="00000000">
        <w:rPr>
          <w:rtl w:val="0"/>
        </w:rPr>
        <w:t xml:space="preserve">Caso o consulente renuncie a seu mandato, não perderá seus direitos políticos, pois ele não cometeu nenhuma infração penal aqui no Brasil, já que o porte de 40 gramas foi descriminalizado.  Assim sendo, o indivíduo não enfrentará processo criminal em razão desse ato, o que implica que não se configurará a hipótese de perda ou suspensão de seus direitos políticos.</w:t>
      </w:r>
    </w:p>
    <w:p w:rsidR="00000000" w:rsidDel="00000000" w:rsidP="00000000" w:rsidRDefault="00000000" w:rsidRPr="00000000" w14:paraId="0000011E">
      <w:pPr>
        <w:rPr/>
      </w:pPr>
      <w:r w:rsidDel="00000000" w:rsidR="00000000" w:rsidRPr="00000000">
        <w:rPr>
          <w:rtl w:val="0"/>
        </w:rPr>
        <w:t xml:space="preserve">Contudo, levando em consideração todos os argumentos anteriores o consulente poderá ter seus direitos políticos suspensos se for condenado, após o trânsito em julgado da sentença, pelo crime de injúria, como previsto expressamente no texto constitucional.</w:t>
      </w:r>
    </w:p>
    <w:p w:rsidR="00000000" w:rsidDel="00000000" w:rsidP="00000000" w:rsidRDefault="00000000" w:rsidRPr="00000000" w14:paraId="0000011F">
      <w:pPr>
        <w:spacing w:after="160" w:line="259" w:lineRule="auto"/>
        <w:ind w:firstLine="0"/>
        <w:jc w:val="left"/>
        <w:rPr/>
      </w:pPr>
      <w:r w:rsidDel="00000000" w:rsidR="00000000" w:rsidRPr="00000000">
        <w:rPr>
          <w:rtl w:val="0"/>
        </w:rPr>
      </w:r>
    </w:p>
    <w:p w:rsidR="00000000" w:rsidDel="00000000" w:rsidP="00000000" w:rsidRDefault="00000000" w:rsidRPr="00000000" w14:paraId="00000120">
      <w:pPr>
        <w:spacing w:after="160" w:line="259" w:lineRule="auto"/>
        <w:ind w:firstLine="0"/>
        <w:jc w:val="left"/>
        <w:rPr>
          <w:b w:val="1"/>
        </w:rPr>
      </w:pPr>
      <w:r w:rsidDel="00000000" w:rsidR="00000000" w:rsidRPr="00000000">
        <w:rPr>
          <w:b w:val="1"/>
          <w:rtl w:val="0"/>
        </w:rPr>
        <w:t xml:space="preserve">É o parecer.</w:t>
      </w:r>
      <w:r w:rsidDel="00000000" w:rsidR="00000000" w:rsidRPr="00000000">
        <w:br w:type="page"/>
      </w:r>
      <w:r w:rsidDel="00000000" w:rsidR="00000000" w:rsidRPr="00000000">
        <w:rPr>
          <w:rtl w:val="0"/>
        </w:rPr>
      </w:r>
    </w:p>
    <w:p w:rsidR="00000000" w:rsidDel="00000000" w:rsidP="00000000" w:rsidRDefault="00000000" w:rsidRPr="00000000" w14:paraId="00000121">
      <w:pPr>
        <w:ind w:firstLine="709"/>
        <w:rPr/>
      </w:pPr>
      <w:r w:rsidDel="00000000" w:rsidR="00000000" w:rsidRPr="00000000">
        <w:rPr>
          <w:rtl w:val="0"/>
        </w:rPr>
      </w:r>
    </w:p>
    <w:p w:rsidR="00000000" w:rsidDel="00000000" w:rsidP="00000000" w:rsidRDefault="00000000" w:rsidRPr="00000000" w14:paraId="0000012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Arial" w:cs="Arial" w:eastAsia="Arial" w:hAnsi="Arial"/>
          <w:b w:val="1"/>
          <w:i w:val="0"/>
          <w:smallCaps w:val="0"/>
          <w:strike w:val="0"/>
          <w:color w:val="000000"/>
          <w:sz w:val="32"/>
          <w:szCs w:val="32"/>
          <w:u w:val="none"/>
          <w:shd w:fill="auto" w:val="clear"/>
          <w:vertAlign w:val="baseline"/>
        </w:rPr>
      </w:pPr>
      <w:r w:rsidDel="00000000" w:rsidR="00000000" w:rsidRPr="00000000">
        <w:rPr>
          <w:rFonts w:ascii="Arial" w:cs="Arial" w:eastAsia="Arial" w:hAnsi="Arial"/>
          <w:b w:val="1"/>
          <w:i w:val="0"/>
          <w:smallCaps w:val="0"/>
          <w:strike w:val="0"/>
          <w:color w:val="000000"/>
          <w:sz w:val="32"/>
          <w:szCs w:val="32"/>
          <w:u w:val="none"/>
          <w:shd w:fill="auto" w:val="clear"/>
          <w:vertAlign w:val="baseline"/>
          <w:rtl w:val="0"/>
        </w:rPr>
        <w:t xml:space="preserve">REFERÊNCIA BIBLIOGRÁFICA</w:t>
      </w:r>
    </w:p>
    <w:p w:rsidR="00000000" w:rsidDel="00000000" w:rsidP="00000000" w:rsidRDefault="00000000" w:rsidRPr="00000000" w14:paraId="00000123">
      <w:pPr>
        <w:ind w:firstLine="0"/>
        <w:rPr/>
      </w:pPr>
      <w:r w:rsidDel="00000000" w:rsidR="00000000" w:rsidRPr="00000000">
        <w:rPr>
          <w:color w:val="000000"/>
          <w:rtl w:val="0"/>
        </w:rPr>
        <w:t xml:space="preserve">BARROSO, Luís R. </w:t>
      </w:r>
      <w:r w:rsidDel="00000000" w:rsidR="00000000" w:rsidRPr="00000000">
        <w:rPr>
          <w:b w:val="1"/>
          <w:color w:val="000000"/>
          <w:rtl w:val="0"/>
        </w:rPr>
        <w:t xml:space="preserve">Curso de direito constitucional contemporâneo.</w:t>
      </w:r>
      <w:r w:rsidDel="00000000" w:rsidR="00000000" w:rsidRPr="00000000">
        <w:rPr>
          <w:color w:val="000000"/>
          <w:rtl w:val="0"/>
        </w:rPr>
        <w:t xml:space="preserve"> 12ª ed. Rio de Janeiro: Saraiva Jur, 2024. E-book. ISBN 9788553621132. Disponível em: </w:t>
      </w:r>
      <w:r w:rsidDel="00000000" w:rsidR="00000000" w:rsidRPr="00000000">
        <w:rPr>
          <w:rtl w:val="0"/>
        </w:rPr>
        <w:t xml:space="preserve">&lt;</w:t>
      </w:r>
      <w:hyperlink r:id="rId18">
        <w:r w:rsidDel="00000000" w:rsidR="00000000" w:rsidRPr="00000000">
          <w:rPr>
            <w:rtl w:val="0"/>
          </w:rPr>
          <w:t xml:space="preserve">https://integrada.minhabiblioteca.com.br/reader/books/9788553621132/</w:t>
        </w:r>
      </w:hyperlink>
      <w:r w:rsidDel="00000000" w:rsidR="00000000" w:rsidRPr="00000000">
        <w:rPr>
          <w:rtl w:val="0"/>
        </w:rPr>
        <w:t xml:space="preserve">&gt;</w:t>
      </w:r>
      <w:r w:rsidDel="00000000" w:rsidR="00000000" w:rsidRPr="00000000">
        <w:rPr>
          <w:color w:val="000000"/>
          <w:rtl w:val="0"/>
        </w:rPr>
        <w:t xml:space="preserve">. Acesso em: 07 nov. 2024.</w:t>
      </w:r>
      <w:r w:rsidDel="00000000" w:rsidR="00000000" w:rsidRPr="00000000">
        <w:rPr>
          <w:rtl w:val="0"/>
        </w:rPr>
      </w:r>
    </w:p>
    <w:p w:rsidR="00000000" w:rsidDel="00000000" w:rsidP="00000000" w:rsidRDefault="00000000" w:rsidRPr="00000000" w14:paraId="00000124">
      <w:pPr>
        <w:rPr>
          <w:color w:val="000000"/>
        </w:rPr>
      </w:pPr>
      <w:r w:rsidDel="00000000" w:rsidR="00000000" w:rsidRPr="00000000">
        <w:rPr>
          <w:rtl w:val="0"/>
        </w:rPr>
      </w:r>
    </w:p>
    <w:p w:rsidR="00000000" w:rsidDel="00000000" w:rsidP="00000000" w:rsidRDefault="00000000" w:rsidRPr="00000000" w14:paraId="00000125">
      <w:pPr>
        <w:ind w:firstLine="0"/>
        <w:rPr/>
      </w:pPr>
      <w:r w:rsidDel="00000000" w:rsidR="00000000" w:rsidRPr="00000000">
        <w:rPr>
          <w:rtl w:val="0"/>
        </w:rPr>
        <w:t xml:space="preserve">BITENCOURT, Cezar R. </w:t>
      </w:r>
      <w:r w:rsidDel="00000000" w:rsidR="00000000" w:rsidRPr="00000000">
        <w:rPr>
          <w:b w:val="1"/>
          <w:rtl w:val="0"/>
        </w:rPr>
        <w:t xml:space="preserve">Erro de tipo e erro de proibição: uma análise comparativa. </w:t>
      </w:r>
      <w:r w:rsidDel="00000000" w:rsidR="00000000" w:rsidRPr="00000000">
        <w:rPr>
          <w:rtl w:val="0"/>
        </w:rPr>
        <w:t xml:space="preserve">6ª Edição. Rio de Janeiro: Saraiva, 2013. E-book. ISBN 9788502202641. Disponível em: &lt;</w:t>
      </w:r>
      <w:hyperlink r:id="rId19">
        <w:r w:rsidDel="00000000" w:rsidR="00000000" w:rsidRPr="00000000">
          <w:rPr>
            <w:color w:val="000000"/>
            <w:u w:val="none"/>
            <w:rtl w:val="0"/>
          </w:rPr>
          <w:t xml:space="preserve">https://integrada.minhabiblioteca.com.br/reader/books/9788502202641/&gt;</w:t>
        </w:r>
      </w:hyperlink>
      <w:r w:rsidDel="00000000" w:rsidR="00000000" w:rsidRPr="00000000">
        <w:rPr>
          <w:rtl w:val="0"/>
        </w:rPr>
        <w:t xml:space="preserve">. Acesso em: 28 out. 2024.</w:t>
      </w:r>
    </w:p>
    <w:p w:rsidR="00000000" w:rsidDel="00000000" w:rsidP="00000000" w:rsidRDefault="00000000" w:rsidRPr="00000000" w14:paraId="00000126">
      <w:pPr>
        <w:rPr>
          <w:b w:val="1"/>
          <w:sz w:val="28"/>
          <w:szCs w:val="28"/>
        </w:rPr>
      </w:pPr>
      <w:r w:rsidDel="00000000" w:rsidR="00000000" w:rsidRPr="00000000">
        <w:rPr>
          <w:rtl w:val="0"/>
        </w:rPr>
      </w:r>
    </w:p>
    <w:p w:rsidR="00000000" w:rsidDel="00000000" w:rsidP="00000000" w:rsidRDefault="00000000" w:rsidRPr="00000000" w14:paraId="00000127">
      <w:pPr>
        <w:ind w:firstLine="0"/>
        <w:rPr/>
      </w:pPr>
      <w:r w:rsidDel="00000000" w:rsidR="00000000" w:rsidRPr="00000000">
        <w:rPr>
          <w:rtl w:val="0"/>
        </w:rPr>
        <w:t xml:space="preserve">BRASIL. </w:t>
      </w:r>
      <w:r w:rsidDel="00000000" w:rsidR="00000000" w:rsidRPr="00000000">
        <w:rPr>
          <w:b w:val="1"/>
          <w:rtl w:val="0"/>
        </w:rPr>
        <w:t xml:space="preserve">Decreto-Lei nº 2.848, de 7 de dezembro de 1940. Código Penal.</w:t>
      </w:r>
      <w:r w:rsidDel="00000000" w:rsidR="00000000" w:rsidRPr="00000000">
        <w:rPr>
          <w:rtl w:val="0"/>
        </w:rPr>
        <w:t xml:space="preserve"> Disponível em: &lt;</w:t>
      </w:r>
      <w:hyperlink r:id="rId20">
        <w:r w:rsidDel="00000000" w:rsidR="00000000" w:rsidRPr="00000000">
          <w:rPr>
            <w:rtl w:val="0"/>
          </w:rPr>
          <w:t xml:space="preserve">https://www.planalto.gov.br/ccivil_03/decreto-lei/del2848compilado.htm</w:t>
        </w:r>
      </w:hyperlink>
      <w:r w:rsidDel="00000000" w:rsidR="00000000" w:rsidRPr="00000000">
        <w:rPr>
          <w:rtl w:val="0"/>
        </w:rPr>
        <w:t xml:space="preserve">&gt;. Acesso em: 31 out. 2024.</w:t>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ind w:firstLine="0"/>
        <w:rPr/>
      </w:pPr>
      <w:r w:rsidDel="00000000" w:rsidR="00000000" w:rsidRPr="00000000">
        <w:rPr>
          <w:rtl w:val="0"/>
        </w:rPr>
        <w:t xml:space="preserve">BRASIL. </w:t>
      </w:r>
      <w:r w:rsidDel="00000000" w:rsidR="00000000" w:rsidRPr="00000000">
        <w:rPr>
          <w:b w:val="1"/>
          <w:rtl w:val="0"/>
        </w:rPr>
        <w:t xml:space="preserve">Lei nº 13.445, de 24 de maio de 2017. Lei de Migração.</w:t>
      </w:r>
      <w:r w:rsidDel="00000000" w:rsidR="00000000" w:rsidRPr="00000000">
        <w:rPr>
          <w:rtl w:val="0"/>
        </w:rPr>
        <w:t xml:space="preserve"> Disponível em: &lt;</w:t>
      </w:r>
      <w:hyperlink r:id="rId21">
        <w:r w:rsidDel="00000000" w:rsidR="00000000" w:rsidRPr="00000000">
          <w:rPr>
            <w:rtl w:val="0"/>
          </w:rPr>
          <w:t xml:space="preserve">https://www.planalto.gov.br/ccivil_03/_ato2015-2018/2017/lei/l13445.htm</w:t>
        </w:r>
      </w:hyperlink>
      <w:r w:rsidDel="00000000" w:rsidR="00000000" w:rsidRPr="00000000">
        <w:rPr>
          <w:rtl w:val="0"/>
        </w:rPr>
        <w:t xml:space="preserve">&gt;. Acesso em: 31 out. 2024.</w:t>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ind w:firstLine="0"/>
        <w:rPr/>
      </w:pPr>
      <w:r w:rsidDel="00000000" w:rsidR="00000000" w:rsidRPr="00000000">
        <w:rPr>
          <w:rtl w:val="0"/>
        </w:rPr>
        <w:t xml:space="preserve">BRASIL. Superior Tribunal de Justiça. </w:t>
      </w:r>
      <w:r w:rsidDel="00000000" w:rsidR="00000000" w:rsidRPr="00000000">
        <w:rPr>
          <w:b w:val="1"/>
          <w:rtl w:val="0"/>
        </w:rPr>
        <w:t xml:space="preserve">Agravo interno no Recurso Especial nº 1610849/SP (Quarta Turma)</w:t>
      </w:r>
      <w:r w:rsidDel="00000000" w:rsidR="00000000" w:rsidRPr="00000000">
        <w:rPr>
          <w:rtl w:val="0"/>
        </w:rPr>
        <w:t xml:space="preserve">. Relator: Min. João Otávio de Noronha. 11/04/2023. Disponível em: &lt;https://www.jusbrasil.com.br/jurisprudencia/stj/1922827977/inteiro-teor-1922827978&gt;. Acesso em: 10 nov. 2024.</w:t>
      </w:r>
    </w:p>
    <w:p w:rsidR="00000000" w:rsidDel="00000000" w:rsidP="00000000" w:rsidRDefault="00000000" w:rsidRPr="00000000" w14:paraId="0000012C">
      <w:pPr>
        <w:ind w:firstLine="0"/>
        <w:rPr/>
      </w:pPr>
      <w:r w:rsidDel="00000000" w:rsidR="00000000" w:rsidRPr="00000000">
        <w:rPr>
          <w:rtl w:val="0"/>
        </w:rPr>
      </w:r>
    </w:p>
    <w:p w:rsidR="00000000" w:rsidDel="00000000" w:rsidP="00000000" w:rsidRDefault="00000000" w:rsidRPr="00000000" w14:paraId="0000012D">
      <w:pPr>
        <w:ind w:firstLine="0"/>
        <w:rPr/>
      </w:pPr>
      <w:r w:rsidDel="00000000" w:rsidR="00000000" w:rsidRPr="00000000">
        <w:rPr>
          <w:rtl w:val="0"/>
        </w:rPr>
        <w:t xml:space="preserve">BRASIL. Supremo Tribunal Federal. </w:t>
      </w:r>
      <w:r w:rsidDel="00000000" w:rsidR="00000000" w:rsidRPr="00000000">
        <w:rPr>
          <w:b w:val="1"/>
          <w:rtl w:val="0"/>
        </w:rPr>
        <w:t xml:space="preserve">Acórdão do Recurso Extraordinário 635659.</w:t>
      </w:r>
      <w:r w:rsidDel="00000000" w:rsidR="00000000" w:rsidRPr="00000000">
        <w:rPr>
          <w:rtl w:val="0"/>
        </w:rPr>
        <w:t xml:space="preserve"> Relator:  Min. Gilmar Mendes. 27/09/2024. Disponível em: &lt;https://jurisprudencia.stf.jus.br/pages/search?base=acordaos&amp;sinonimo=true&amp;plural=true&amp;page=1&amp;pageSize=10&amp;sort=_score&amp;sortBy=desc&amp;isAdvanced=true&amp;origem=AP&amp;classeNumeroIncidente=RE%20635659&gt;. Acesso em: 28 out. 2024.</w:t>
      </w:r>
    </w:p>
    <w:p w:rsidR="00000000" w:rsidDel="00000000" w:rsidP="00000000" w:rsidRDefault="00000000" w:rsidRPr="00000000" w14:paraId="0000012E">
      <w:pPr>
        <w:ind w:firstLine="0"/>
        <w:rPr/>
      </w:pPr>
      <w:r w:rsidDel="00000000" w:rsidR="00000000" w:rsidRPr="00000000">
        <w:rPr>
          <w:rtl w:val="0"/>
        </w:rPr>
      </w:r>
    </w:p>
    <w:p w:rsidR="00000000" w:rsidDel="00000000" w:rsidP="00000000" w:rsidRDefault="00000000" w:rsidRPr="00000000" w14:paraId="0000012F">
      <w:pPr>
        <w:ind w:firstLine="0"/>
        <w:rPr/>
      </w:pPr>
      <w:r w:rsidDel="00000000" w:rsidR="00000000" w:rsidRPr="00000000">
        <w:rPr>
          <w:rtl w:val="0"/>
        </w:rPr>
        <w:t xml:space="preserve">BRASIL. Supremo Tribunal Federal. </w:t>
      </w:r>
      <w:r w:rsidDel="00000000" w:rsidR="00000000" w:rsidRPr="00000000">
        <w:rPr>
          <w:b w:val="1"/>
          <w:rtl w:val="0"/>
        </w:rPr>
        <w:t xml:space="preserve">Agravo Regimental na Petição nº 10.001 Distrito Federal</w:t>
      </w:r>
      <w:r w:rsidDel="00000000" w:rsidR="00000000" w:rsidRPr="00000000">
        <w:rPr>
          <w:rtl w:val="0"/>
        </w:rPr>
        <w:t xml:space="preserve">. Relator. Min. Dias Toffoli. 22/03/2023. Disponível em: &lt;https://jurisprudencia.stf.jus.br/pages/search/sjur476362/false&gt;. Acesso em: 10 nov. 2024.</w:t>
      </w:r>
    </w:p>
    <w:p w:rsidR="00000000" w:rsidDel="00000000" w:rsidP="00000000" w:rsidRDefault="00000000" w:rsidRPr="00000000" w14:paraId="00000130">
      <w:pPr>
        <w:ind w:firstLine="0"/>
        <w:rPr>
          <w:color w:val="000000"/>
          <w:sz w:val="20"/>
          <w:szCs w:val="20"/>
        </w:rPr>
      </w:pPr>
      <w:r w:rsidDel="00000000" w:rsidR="00000000" w:rsidRPr="00000000">
        <w:rPr>
          <w:rtl w:val="0"/>
        </w:rPr>
      </w:r>
    </w:p>
    <w:p w:rsidR="00000000" w:rsidDel="00000000" w:rsidP="00000000" w:rsidRDefault="00000000" w:rsidRPr="00000000" w14:paraId="00000131">
      <w:pPr>
        <w:ind w:firstLine="0"/>
        <w:rPr/>
      </w:pPr>
      <w:r w:rsidDel="00000000" w:rsidR="00000000" w:rsidRPr="00000000">
        <w:rPr>
          <w:rtl w:val="0"/>
        </w:rPr>
        <w:t xml:space="preserve">BRASIL. Supremo Tribunal Federal. </w:t>
      </w:r>
      <w:r w:rsidDel="00000000" w:rsidR="00000000" w:rsidRPr="00000000">
        <w:rPr>
          <w:b w:val="1"/>
          <w:rtl w:val="0"/>
        </w:rPr>
        <w:t xml:space="preserve">Agravo Regimental na Petição nº 8.242 Distrito Federal (Segunda Turma)</w:t>
      </w:r>
      <w:r w:rsidDel="00000000" w:rsidR="00000000" w:rsidRPr="00000000">
        <w:rPr>
          <w:rtl w:val="0"/>
        </w:rPr>
        <w:t xml:space="preserve">. Relator. Min. Celso de Melo. 20/06/2022. Disponível em: &lt;https://jurisprudencia.stf.jus.br/pages/search/sjur466192/false&gt;. Acesso em: 10 nov. 2024.</w:t>
      </w:r>
    </w:p>
    <w:p w:rsidR="00000000" w:rsidDel="00000000" w:rsidP="00000000" w:rsidRDefault="00000000" w:rsidRPr="00000000" w14:paraId="00000132">
      <w:pPr>
        <w:rPr/>
      </w:pPr>
      <w:r w:rsidDel="00000000" w:rsidR="00000000" w:rsidRPr="00000000">
        <w:rPr>
          <w:rtl w:val="0"/>
        </w:rPr>
      </w:r>
    </w:p>
    <w:p w:rsidR="00000000" w:rsidDel="00000000" w:rsidP="00000000" w:rsidRDefault="00000000" w:rsidRPr="00000000" w14:paraId="00000133">
      <w:pPr>
        <w:ind w:firstLine="0"/>
        <w:rPr/>
      </w:pPr>
      <w:r w:rsidDel="00000000" w:rsidR="00000000" w:rsidRPr="00000000">
        <w:rPr>
          <w:rtl w:val="0"/>
        </w:rPr>
        <w:t xml:space="preserve">BRASIL. Supremo Tribunal Federal. </w:t>
      </w:r>
      <w:r w:rsidDel="00000000" w:rsidR="00000000" w:rsidRPr="00000000">
        <w:rPr>
          <w:b w:val="1"/>
          <w:rtl w:val="0"/>
        </w:rPr>
        <w:t xml:space="preserve">Decisão em recurso extraordinário, AP:396</w:t>
      </w:r>
      <w:r w:rsidDel="00000000" w:rsidR="00000000" w:rsidRPr="00000000">
        <w:rPr>
          <w:rtl w:val="0"/>
        </w:rPr>
        <w:t xml:space="preserve">. Relator: Ministra Cármen Lúcia. 26/07/2013. Disponível em: &lt;</w:t>
      </w:r>
      <w:hyperlink r:id="rId22">
        <w:r w:rsidDel="00000000" w:rsidR="00000000" w:rsidRPr="00000000">
          <w:rPr>
            <w:rtl w:val="0"/>
          </w:rPr>
          <w:t xml:space="preserve">https://redir.stf.jus.br/paginadorpub/paginador.jsp?docTP=TP&amp;docID=4622946</w:t>
        </w:r>
      </w:hyperlink>
      <w:r w:rsidDel="00000000" w:rsidR="00000000" w:rsidRPr="00000000">
        <w:rPr>
          <w:rtl w:val="0"/>
        </w:rPr>
        <w:t xml:space="preserve">&gt;. Acesso em: 05 nov. 2024.</w:t>
      </w:r>
    </w:p>
    <w:p w:rsidR="00000000" w:rsidDel="00000000" w:rsidP="00000000" w:rsidRDefault="00000000" w:rsidRPr="00000000" w14:paraId="00000134">
      <w:pPr>
        <w:ind w:firstLine="0"/>
        <w:rPr/>
      </w:pPr>
      <w:r w:rsidDel="00000000" w:rsidR="00000000" w:rsidRPr="00000000">
        <w:rPr>
          <w:rtl w:val="0"/>
        </w:rPr>
      </w:r>
    </w:p>
    <w:p w:rsidR="00000000" w:rsidDel="00000000" w:rsidP="00000000" w:rsidRDefault="00000000" w:rsidRPr="00000000" w14:paraId="00000135">
      <w:pPr>
        <w:ind w:firstLine="0"/>
        <w:rPr/>
      </w:pPr>
      <w:r w:rsidDel="00000000" w:rsidR="00000000" w:rsidRPr="00000000">
        <w:rPr>
          <w:rtl w:val="0"/>
        </w:rPr>
        <w:t xml:space="preserve">BRASIL. Supremo Tribunal Federal. </w:t>
      </w:r>
      <w:r w:rsidDel="00000000" w:rsidR="00000000" w:rsidRPr="00000000">
        <w:rPr>
          <w:b w:val="1"/>
          <w:rtl w:val="0"/>
        </w:rPr>
        <w:t xml:space="preserve">Inquérito nº 3.508 Paraná</w:t>
      </w:r>
      <w:r w:rsidDel="00000000" w:rsidR="00000000" w:rsidRPr="00000000">
        <w:rPr>
          <w:rtl w:val="0"/>
        </w:rPr>
        <w:t xml:space="preserve">. Relator: Ministro Alexandre de Moraes. 20/02/2018. Disponível em: &lt;</w:t>
      </w:r>
      <w:hyperlink r:id="rId23">
        <w:r w:rsidDel="00000000" w:rsidR="00000000" w:rsidRPr="00000000">
          <w:rPr>
            <w:color w:val="000000"/>
            <w:u w:val="none"/>
            <w:rtl w:val="0"/>
          </w:rPr>
          <w:t xml:space="preserve">https://redir.stf.jus.br/paginadorpub/paginador.jsp?docTP=TP&amp;docID=748257379</w:t>
        </w:r>
      </w:hyperlink>
      <w:r w:rsidDel="00000000" w:rsidR="00000000" w:rsidRPr="00000000">
        <w:rPr>
          <w:rtl w:val="0"/>
        </w:rPr>
        <w:t xml:space="preserve">&gt;. Acesso em: 10 nov. 2024.</w:t>
      </w:r>
    </w:p>
    <w:p w:rsidR="00000000" w:rsidDel="00000000" w:rsidP="00000000" w:rsidRDefault="00000000" w:rsidRPr="00000000" w14:paraId="00000136">
      <w:pPr>
        <w:rPr/>
      </w:pPr>
      <w:r w:rsidDel="00000000" w:rsidR="00000000" w:rsidRPr="00000000">
        <w:rPr>
          <w:rtl w:val="0"/>
        </w:rPr>
      </w:r>
    </w:p>
    <w:p w:rsidR="00000000" w:rsidDel="00000000" w:rsidP="00000000" w:rsidRDefault="00000000" w:rsidRPr="00000000" w14:paraId="00000137">
      <w:pPr>
        <w:ind w:firstLine="0"/>
        <w:rPr/>
      </w:pPr>
      <w:r w:rsidDel="00000000" w:rsidR="00000000" w:rsidRPr="00000000">
        <w:rPr>
          <w:rtl w:val="0"/>
        </w:rPr>
        <w:t xml:space="preserve">BRASIL. Supremo Tribuna Federal. </w:t>
      </w:r>
      <w:r w:rsidDel="00000000" w:rsidR="00000000" w:rsidRPr="00000000">
        <w:rPr>
          <w:b w:val="1"/>
          <w:rtl w:val="0"/>
        </w:rPr>
        <w:t xml:space="preserve">Mandado de Segurança nº: 32033.</w:t>
      </w:r>
      <w:r w:rsidDel="00000000" w:rsidR="00000000" w:rsidRPr="00000000">
        <w:rPr>
          <w:rtl w:val="0"/>
        </w:rPr>
        <w:t xml:space="preserve"> Relator: Min. Gilmar Mendes. 13/06/2013. Disponível em: &lt;</w:t>
      </w:r>
      <w:hyperlink r:id="rId24">
        <w:r w:rsidDel="00000000" w:rsidR="00000000" w:rsidRPr="00000000">
          <w:rPr>
            <w:rtl w:val="0"/>
          </w:rPr>
          <w:t xml:space="preserve">https://portal.stf.jus.br/processos/detalhe.asp?incidente=4397298</w:t>
        </w:r>
      </w:hyperlink>
      <w:r w:rsidDel="00000000" w:rsidR="00000000" w:rsidRPr="00000000">
        <w:rPr>
          <w:rtl w:val="0"/>
        </w:rPr>
        <w:t xml:space="preserve">&gt;. Acesso em: 05/11/2024.</w:t>
      </w:r>
    </w:p>
    <w:p w:rsidR="00000000" w:rsidDel="00000000" w:rsidP="00000000" w:rsidRDefault="00000000" w:rsidRPr="00000000" w14:paraId="00000138">
      <w:pPr>
        <w:rPr/>
      </w:pPr>
      <w:r w:rsidDel="00000000" w:rsidR="00000000" w:rsidRPr="00000000">
        <w:rPr>
          <w:rtl w:val="0"/>
        </w:rPr>
      </w:r>
    </w:p>
    <w:p w:rsidR="00000000" w:rsidDel="00000000" w:rsidP="00000000" w:rsidRDefault="00000000" w:rsidRPr="00000000" w14:paraId="00000139">
      <w:pPr>
        <w:ind w:firstLine="0"/>
        <w:rPr/>
      </w:pPr>
      <w:r w:rsidDel="00000000" w:rsidR="00000000" w:rsidRPr="00000000">
        <w:rPr>
          <w:rtl w:val="0"/>
        </w:rPr>
        <w:t xml:space="preserve">BRASIL. Supremo Tribunal Federal. </w:t>
      </w:r>
      <w:r w:rsidDel="00000000" w:rsidR="00000000" w:rsidRPr="00000000">
        <w:rPr>
          <w:b w:val="1"/>
          <w:rtl w:val="0"/>
        </w:rPr>
        <w:t xml:space="preserve">Segundo Julgamento na Extradição nº 1.506 Distrito Federal (Primeira Turma)</w:t>
      </w:r>
      <w:r w:rsidDel="00000000" w:rsidR="00000000" w:rsidRPr="00000000">
        <w:rPr>
          <w:rtl w:val="0"/>
        </w:rPr>
        <w:t xml:space="preserve">. Relator: Min. Roberto Barroso. 12/12/2017. Disponível em: &lt;https://www.jusbrasil.com.br/jurisprudencia/stf/863575422/inteiro-teor-863575423&gt;. Acesso em: 10 nov. 2024.</w:t>
      </w:r>
    </w:p>
    <w:p w:rsidR="00000000" w:rsidDel="00000000" w:rsidP="00000000" w:rsidRDefault="00000000" w:rsidRPr="00000000" w14:paraId="0000013A">
      <w:pPr>
        <w:rPr/>
      </w:pPr>
      <w:r w:rsidDel="00000000" w:rsidR="00000000" w:rsidRPr="00000000">
        <w:rPr>
          <w:rtl w:val="0"/>
        </w:rPr>
      </w:r>
    </w:p>
    <w:p w:rsidR="00000000" w:rsidDel="00000000" w:rsidP="00000000" w:rsidRDefault="00000000" w:rsidRPr="00000000" w14:paraId="0000013B">
      <w:pPr>
        <w:ind w:firstLine="0"/>
        <w:rPr/>
      </w:pPr>
      <w:r w:rsidDel="00000000" w:rsidR="00000000" w:rsidRPr="00000000">
        <w:rPr>
          <w:rtl w:val="0"/>
        </w:rPr>
        <w:t xml:space="preserve">BRASIL. Supremo Tribunal Federal. </w:t>
      </w:r>
      <w:r w:rsidDel="00000000" w:rsidR="00000000" w:rsidRPr="00000000">
        <w:rPr>
          <w:b w:val="1"/>
          <w:rtl w:val="0"/>
        </w:rPr>
        <w:t xml:space="preserve">Tema 506 - Tipicidade do porte de droga para consumo pessoal</w:t>
      </w:r>
      <w:r w:rsidDel="00000000" w:rsidR="00000000" w:rsidRPr="00000000">
        <w:rPr>
          <w:rtl w:val="0"/>
        </w:rPr>
        <w:t xml:space="preserve">. Acórdão do Recurso Extraordinário nº 635659. Relator: Min. Gilmar Mendes. 27/09/2024. Disponível em: &lt;https://portal.stf.jus.br/jurisprudenciaRepercussao/verAndamentoProcesso.asp?incidente=4034145&amp;numeroProcesso=635659&amp;classeProcesso=RE&amp;numeroTema=506&gt;. Acesso em 02 nov. 2024.</w:t>
      </w:r>
    </w:p>
    <w:p w:rsidR="00000000" w:rsidDel="00000000" w:rsidP="00000000" w:rsidRDefault="00000000" w:rsidRPr="00000000" w14:paraId="0000013C">
      <w:pPr>
        <w:ind w:firstLine="0"/>
        <w:rPr/>
      </w:pPr>
      <w:r w:rsidDel="00000000" w:rsidR="00000000" w:rsidRPr="00000000">
        <w:rPr>
          <w:rtl w:val="0"/>
        </w:rPr>
      </w:r>
    </w:p>
    <w:p w:rsidR="00000000" w:rsidDel="00000000" w:rsidP="00000000" w:rsidRDefault="00000000" w:rsidRPr="00000000" w14:paraId="0000013D">
      <w:pPr>
        <w:ind w:firstLine="0"/>
        <w:rPr/>
      </w:pPr>
      <w:r w:rsidDel="00000000" w:rsidR="00000000" w:rsidRPr="00000000">
        <w:rPr>
          <w:rtl w:val="0"/>
        </w:rPr>
        <w:t xml:space="preserve">CAPEZ, Fernando. </w:t>
      </w:r>
      <w:r w:rsidDel="00000000" w:rsidR="00000000" w:rsidRPr="00000000">
        <w:rPr>
          <w:b w:val="1"/>
          <w:rtl w:val="0"/>
        </w:rPr>
        <w:t xml:space="preserve">Curso de direito penal: parte geral: arts. 1º a 120. v.1. </w:t>
      </w:r>
      <w:r w:rsidDel="00000000" w:rsidR="00000000" w:rsidRPr="00000000">
        <w:rPr>
          <w:rtl w:val="0"/>
        </w:rPr>
        <w:t xml:space="preserve">28th ed. Rio de Janeiro: Saraiva Jur, 2024. E-book. p.XII. ISBN 9788553622696. Disponível em: &lt;https://integrada.minhabiblioteca.com.br/reader/books/9788553622696/&gt;. Acesso em: 06 nov. 2024.</w:t>
      </w:r>
    </w:p>
    <w:p w:rsidR="00000000" w:rsidDel="00000000" w:rsidP="00000000" w:rsidRDefault="00000000" w:rsidRPr="00000000" w14:paraId="0000013E">
      <w:pPr>
        <w:rPr/>
      </w:pPr>
      <w:r w:rsidDel="00000000" w:rsidR="00000000" w:rsidRPr="00000000">
        <w:rPr>
          <w:rtl w:val="0"/>
        </w:rPr>
      </w:r>
    </w:p>
    <w:p w:rsidR="00000000" w:rsidDel="00000000" w:rsidP="00000000" w:rsidRDefault="00000000" w:rsidRPr="00000000" w14:paraId="0000013F">
      <w:pPr>
        <w:ind w:firstLine="0"/>
        <w:rPr/>
      </w:pPr>
      <w:r w:rsidDel="00000000" w:rsidR="00000000" w:rsidRPr="00000000">
        <w:rPr>
          <w:rtl w:val="0"/>
        </w:rPr>
        <w:t xml:space="preserve">GUERRA, Sidney. </w:t>
      </w:r>
      <w:r w:rsidDel="00000000" w:rsidR="00000000" w:rsidRPr="00000000">
        <w:rPr>
          <w:b w:val="1"/>
          <w:rtl w:val="0"/>
        </w:rPr>
        <w:t xml:space="preserve">Curso de direito internacional público.</w:t>
      </w:r>
      <w:r w:rsidDel="00000000" w:rsidR="00000000" w:rsidRPr="00000000">
        <w:rPr>
          <w:rtl w:val="0"/>
        </w:rPr>
        <w:t xml:space="preserve"> 16th ed. Rio de Janeiro: Saraiva Jur, 2024. E-book. p.447. ISBN 9788553623396. Disponível em: &lt;https://integrada.minhabiblioteca.com.br/reader/books/9788553623396/&gt;. Acesso em: 02 nov. 2024.</w:t>
      </w:r>
    </w:p>
    <w:p w:rsidR="00000000" w:rsidDel="00000000" w:rsidP="00000000" w:rsidRDefault="00000000" w:rsidRPr="00000000" w14:paraId="00000140">
      <w:pPr>
        <w:rPr/>
      </w:pPr>
      <w:r w:rsidDel="00000000" w:rsidR="00000000" w:rsidRPr="00000000">
        <w:rPr>
          <w:rtl w:val="0"/>
        </w:rPr>
      </w:r>
    </w:p>
    <w:p w:rsidR="00000000" w:rsidDel="00000000" w:rsidP="00000000" w:rsidRDefault="00000000" w:rsidRPr="00000000" w14:paraId="00000141">
      <w:pPr>
        <w:ind w:firstLine="0"/>
        <w:rPr/>
      </w:pPr>
      <w:r w:rsidDel="00000000" w:rsidR="00000000" w:rsidRPr="00000000">
        <w:rPr>
          <w:rtl w:val="0"/>
        </w:rPr>
        <w:t xml:space="preserve">GRECO, Rogério. </w:t>
      </w:r>
      <w:r w:rsidDel="00000000" w:rsidR="00000000" w:rsidRPr="00000000">
        <w:rPr>
          <w:b w:val="1"/>
          <w:rtl w:val="0"/>
        </w:rPr>
        <w:t xml:space="preserve">Direito Penal Estruturado.</w:t>
      </w:r>
      <w:r w:rsidDel="00000000" w:rsidR="00000000" w:rsidRPr="00000000">
        <w:rPr>
          <w:rtl w:val="0"/>
        </w:rPr>
        <w:t xml:space="preserve"> 3rd ed. Rio de Janeiro: Método, 2023. E-book. p.67. ISBN 9786559647651. Disponível em: &lt;https://integrada.minhabiblioteca.com.br/reader/books/9786559647651/&gt;. Acesso em: 31 out. 2024.</w:t>
      </w:r>
    </w:p>
    <w:p w:rsidR="00000000" w:rsidDel="00000000" w:rsidP="00000000" w:rsidRDefault="00000000" w:rsidRPr="00000000" w14:paraId="00000142">
      <w:pPr>
        <w:rPr/>
      </w:pPr>
      <w:r w:rsidDel="00000000" w:rsidR="00000000" w:rsidRPr="00000000">
        <w:rPr>
          <w:rtl w:val="0"/>
        </w:rPr>
      </w:r>
    </w:p>
    <w:p w:rsidR="00000000" w:rsidDel="00000000" w:rsidP="00000000" w:rsidRDefault="00000000" w:rsidRPr="00000000" w14:paraId="00000143">
      <w:pPr>
        <w:ind w:firstLine="0"/>
        <w:rPr/>
      </w:pPr>
      <w:r w:rsidDel="00000000" w:rsidR="00000000" w:rsidRPr="00000000">
        <w:rPr>
          <w:rtl w:val="0"/>
        </w:rPr>
        <w:t xml:space="preserve">JUNQUEIRA, Gustavo Octaviano D.; FIGUEIREDO, Maria Patrícia V. </w:t>
      </w:r>
      <w:r w:rsidDel="00000000" w:rsidR="00000000" w:rsidRPr="00000000">
        <w:rPr>
          <w:b w:val="1"/>
          <w:rtl w:val="0"/>
        </w:rPr>
        <w:t xml:space="preserve">Manual de direito penal.</w:t>
      </w:r>
      <w:r w:rsidDel="00000000" w:rsidR="00000000" w:rsidRPr="00000000">
        <w:rPr>
          <w:rtl w:val="0"/>
        </w:rPr>
        <w:t xml:space="preserve"> 10th ed. Rio de Janeiro: Saraiva Jur, 2024. E-book. p.334. ISBN 9788553620111. Disponível em: &lt;https://integrada.minhabiblioteca.com.br/reader/books/9788553620111/&gt;. Acesso em: 06 nov. 2024.</w:t>
      </w:r>
    </w:p>
    <w:p w:rsidR="00000000" w:rsidDel="00000000" w:rsidP="00000000" w:rsidRDefault="00000000" w:rsidRPr="00000000" w14:paraId="00000144">
      <w:pPr>
        <w:rPr/>
      </w:pPr>
      <w:r w:rsidDel="00000000" w:rsidR="00000000" w:rsidRPr="00000000">
        <w:rPr>
          <w:rtl w:val="0"/>
        </w:rPr>
      </w:r>
    </w:p>
    <w:p w:rsidR="00000000" w:rsidDel="00000000" w:rsidP="00000000" w:rsidRDefault="00000000" w:rsidRPr="00000000" w14:paraId="00000145">
      <w:pPr>
        <w:ind w:firstLine="0"/>
        <w:rPr/>
      </w:pPr>
      <w:r w:rsidDel="00000000" w:rsidR="00000000" w:rsidRPr="00000000">
        <w:rPr>
          <w:rtl w:val="0"/>
        </w:rPr>
        <w:t xml:space="preserve">JUSBRASIL. </w:t>
      </w:r>
      <w:r w:rsidDel="00000000" w:rsidR="00000000" w:rsidRPr="00000000">
        <w:rPr>
          <w:b w:val="1"/>
          <w:rtl w:val="0"/>
        </w:rPr>
        <w:t xml:space="preserve">5 mitos sobre o consumo de maconha na Holanda.</w:t>
      </w:r>
      <w:r w:rsidDel="00000000" w:rsidR="00000000" w:rsidRPr="00000000">
        <w:rPr>
          <w:rtl w:val="0"/>
        </w:rPr>
        <w:t xml:space="preserve"> Disponível em: &lt;</w:t>
      </w:r>
      <w:hyperlink r:id="rId25">
        <w:r w:rsidDel="00000000" w:rsidR="00000000" w:rsidRPr="00000000">
          <w:rPr>
            <w:rtl w:val="0"/>
          </w:rPr>
          <w:t xml:space="preserve">https://www.jusbrasil.com.br/noticias/5-mitos-sobre-o-consumo-de-maconha-na-holanda/239382014</w:t>
        </w:r>
      </w:hyperlink>
      <w:r w:rsidDel="00000000" w:rsidR="00000000" w:rsidRPr="00000000">
        <w:rPr>
          <w:rtl w:val="0"/>
        </w:rPr>
        <w:t xml:space="preserve">&gt;. Acesso em: 25 out. 2024.</w:t>
      </w:r>
    </w:p>
    <w:p w:rsidR="00000000" w:rsidDel="00000000" w:rsidP="00000000" w:rsidRDefault="00000000" w:rsidRPr="00000000" w14:paraId="00000146">
      <w:pPr>
        <w:rPr/>
      </w:pPr>
      <w:r w:rsidDel="00000000" w:rsidR="00000000" w:rsidRPr="00000000">
        <w:rPr>
          <w:rtl w:val="0"/>
        </w:rPr>
      </w:r>
    </w:p>
    <w:p w:rsidR="00000000" w:rsidDel="00000000" w:rsidP="00000000" w:rsidRDefault="00000000" w:rsidRPr="00000000" w14:paraId="00000147">
      <w:pPr>
        <w:ind w:firstLine="0"/>
        <w:rPr/>
      </w:pPr>
      <w:r w:rsidDel="00000000" w:rsidR="00000000" w:rsidRPr="00000000">
        <w:rPr>
          <w:rtl w:val="0"/>
        </w:rPr>
        <w:t xml:space="preserve">LENZA, Pedro. </w:t>
      </w:r>
      <w:r w:rsidDel="00000000" w:rsidR="00000000" w:rsidRPr="00000000">
        <w:rPr>
          <w:b w:val="1"/>
          <w:rtl w:val="0"/>
        </w:rPr>
        <w:t xml:space="preserve">Direito constitucional. (Coleção esquematizado®).</w:t>
      </w:r>
      <w:r w:rsidDel="00000000" w:rsidR="00000000" w:rsidRPr="00000000">
        <w:rPr>
          <w:rtl w:val="0"/>
        </w:rPr>
        <w:t xml:space="preserve"> 28th ed. Rio de Janeiro: Saraiva Jur, 2024. E-book. p.519. ISBN 9788553621958. Disponível em: &lt;</w:t>
      </w:r>
      <w:hyperlink r:id="rId26">
        <w:r w:rsidDel="00000000" w:rsidR="00000000" w:rsidRPr="00000000">
          <w:rPr>
            <w:rtl w:val="0"/>
          </w:rPr>
          <w:t xml:space="preserve">https://integrada.minhabiblioteca.com.br/reader/books/9788553621958/&gt;</w:t>
        </w:r>
      </w:hyperlink>
      <w:r w:rsidDel="00000000" w:rsidR="00000000" w:rsidRPr="00000000">
        <w:rPr>
          <w:rtl w:val="0"/>
        </w:rPr>
        <w:t xml:space="preserve">. Acesso em: 05 nov. 2024. </w:t>
      </w:r>
    </w:p>
    <w:p w:rsidR="00000000" w:rsidDel="00000000" w:rsidP="00000000" w:rsidRDefault="00000000" w:rsidRPr="00000000" w14:paraId="00000148">
      <w:pPr>
        <w:rPr/>
      </w:pPr>
      <w:r w:rsidDel="00000000" w:rsidR="00000000" w:rsidRPr="00000000">
        <w:rPr>
          <w:rtl w:val="0"/>
        </w:rPr>
      </w:r>
    </w:p>
    <w:p w:rsidR="00000000" w:rsidDel="00000000" w:rsidP="00000000" w:rsidRDefault="00000000" w:rsidRPr="00000000" w14:paraId="00000149">
      <w:pPr>
        <w:ind w:firstLine="0"/>
        <w:rPr/>
      </w:pPr>
      <w:r w:rsidDel="00000000" w:rsidR="00000000" w:rsidRPr="00000000">
        <w:rPr>
          <w:rtl w:val="0"/>
        </w:rPr>
        <w:t xml:space="preserve">MASSON, Cleber. </w:t>
      </w:r>
      <w:r w:rsidDel="00000000" w:rsidR="00000000" w:rsidRPr="00000000">
        <w:rPr>
          <w:b w:val="1"/>
          <w:rtl w:val="0"/>
        </w:rPr>
        <w:t xml:space="preserve">Direito Penal: Parte Geral (arts. 1º a 120). v.1.</w:t>
      </w:r>
      <w:r w:rsidDel="00000000" w:rsidR="00000000" w:rsidRPr="00000000">
        <w:rPr>
          <w:rtl w:val="0"/>
        </w:rPr>
        <w:t xml:space="preserve"> 18th ed. Rio de Janeiro: Método, 2024. E-book. ISBN 9786559649501. Disponível em: &lt;https://integrada.minhabiblioteca.com.br/reader/books/9786559649501/&gt;. Acesso em: 06 nov. 2024.</w:t>
      </w:r>
    </w:p>
    <w:p w:rsidR="00000000" w:rsidDel="00000000" w:rsidP="00000000" w:rsidRDefault="00000000" w:rsidRPr="00000000" w14:paraId="0000014A">
      <w:pPr>
        <w:rPr/>
      </w:pPr>
      <w:r w:rsidDel="00000000" w:rsidR="00000000" w:rsidRPr="00000000">
        <w:rPr>
          <w:rtl w:val="0"/>
        </w:rPr>
      </w:r>
    </w:p>
    <w:p w:rsidR="00000000" w:rsidDel="00000000" w:rsidP="00000000" w:rsidRDefault="00000000" w:rsidRPr="00000000" w14:paraId="0000014B">
      <w:pPr>
        <w:ind w:firstLine="0"/>
        <w:rPr/>
      </w:pPr>
      <w:r w:rsidDel="00000000" w:rsidR="00000000" w:rsidRPr="00000000">
        <w:rPr>
          <w:rtl w:val="0"/>
        </w:rPr>
        <w:t xml:space="preserve">MORAES, Alexandre de. </w:t>
      </w:r>
      <w:r w:rsidDel="00000000" w:rsidR="00000000" w:rsidRPr="00000000">
        <w:rPr>
          <w:b w:val="1"/>
          <w:rtl w:val="0"/>
        </w:rPr>
        <w:t xml:space="preserve">Direito Constitucional.</w:t>
      </w:r>
      <w:r w:rsidDel="00000000" w:rsidR="00000000" w:rsidRPr="00000000">
        <w:rPr>
          <w:rtl w:val="0"/>
        </w:rPr>
        <w:t xml:space="preserve"> 40ª ed. Rio de Janeiro: Atlas, 2024. E-book. p.520. ISBN 9786559776375. Disponível em: &lt;https://integrada.minhabiblioteca.com.br/reader/books/9786559776375/&gt;. Acesso em: 06 nov. 2024. </w:t>
      </w:r>
    </w:p>
    <w:p w:rsidR="00000000" w:rsidDel="00000000" w:rsidP="00000000" w:rsidRDefault="00000000" w:rsidRPr="00000000" w14:paraId="0000014C">
      <w:pPr>
        <w:rPr/>
      </w:pPr>
      <w:r w:rsidDel="00000000" w:rsidR="00000000" w:rsidRPr="00000000">
        <w:rPr>
          <w:rtl w:val="0"/>
        </w:rPr>
      </w:r>
    </w:p>
    <w:p w:rsidR="00000000" w:rsidDel="00000000" w:rsidP="00000000" w:rsidRDefault="00000000" w:rsidRPr="00000000" w14:paraId="0000014D">
      <w:pPr>
        <w:ind w:firstLine="0"/>
        <w:rPr/>
      </w:pPr>
      <w:r w:rsidDel="00000000" w:rsidR="00000000" w:rsidRPr="00000000">
        <w:rPr>
          <w:rtl w:val="0"/>
        </w:rPr>
        <w:t xml:space="preserve">MOTTA, Sylvio. </w:t>
      </w:r>
      <w:r w:rsidDel="00000000" w:rsidR="00000000" w:rsidRPr="00000000">
        <w:rPr>
          <w:b w:val="1"/>
          <w:rtl w:val="0"/>
        </w:rPr>
        <w:t xml:space="preserve">Direito Constitucional.</w:t>
      </w:r>
      <w:r w:rsidDel="00000000" w:rsidR="00000000" w:rsidRPr="00000000">
        <w:rPr>
          <w:rtl w:val="0"/>
        </w:rPr>
        <w:t xml:space="preserve"> 29th ed. Rio de Janeiro: Método, 2021. E-book. p.298. ISBN 9788530993993. Disponível em: &lt;https://integrada.minhabiblioteca.com.br/reader/books/9788530993993/&gt;. Acesso em: 02 nov. 2024.</w:t>
      </w:r>
    </w:p>
    <w:p w:rsidR="00000000" w:rsidDel="00000000" w:rsidP="00000000" w:rsidRDefault="00000000" w:rsidRPr="00000000" w14:paraId="0000014E">
      <w:pPr>
        <w:ind w:firstLine="0"/>
        <w:rPr>
          <w:color w:val="000000"/>
          <w:sz w:val="20"/>
          <w:szCs w:val="20"/>
        </w:rPr>
      </w:pPr>
      <w:r w:rsidDel="00000000" w:rsidR="00000000" w:rsidRPr="00000000">
        <w:rPr>
          <w:rtl w:val="0"/>
        </w:rPr>
      </w:r>
    </w:p>
    <w:sectPr>
      <w:type w:val="nextPage"/>
      <w:pgSz w:h="16838" w:w="11906" w:orient="portrait"/>
      <w:pgMar w:bottom="1134" w:top="1701" w:left="1701" w:right="1134"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comment w:author="Rafael Bragagnole Cambaúva" w:id="2" w:date="2024-11-22T18:48:29Z">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correta, porém com a fundamentação incompleta.</w:t>
      </w:r>
    </w:p>
  </w:comment>
  <w:comment w:author="Gustavo Massari" w:id="0" w:date="2024-11-22T19:45:02Z">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Melhor seria ter parado no erro de proibição e não misturado com a segunda pergunta.</w:t>
      </w:r>
    </w:p>
  </w:comment>
  <w:comment w:author="Daniele Arcolini Cassucci" w:id="1" w:date="2024-11-23T15:55:16Z">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Trabalho excelente.</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adequada...</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Contemplou:</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impossibilidade de extradição</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decisão do STF</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15:commentEx w15:paraId="0000015E" w15:done="0"/>
  <w15:commentEx w15:paraId="0000015F" w15:done="0"/>
  <w15:commentEx w15:paraId="00000169"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Verdan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7">
    <w:pPr>
      <w:tabs>
        <w:tab w:val="center" w:leader="none" w:pos="4252"/>
        <w:tab w:val="right" w:leader="none" w:pos="8504"/>
      </w:tabs>
      <w:spacing w:line="240" w:lineRule="auto"/>
      <w:jc w:val="right"/>
      <w:rPr>
        <w:b w:val="1"/>
        <w:sz w:val="20"/>
        <w:szCs w:val="2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8">
    <w:pPr>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9">
    <w:pPr>
      <w:pBdr>
        <w:bottom w:color="000000" w:space="1" w:sz="12" w:val="single"/>
      </w:pBdr>
      <w:tabs>
        <w:tab w:val="center" w:leader="none" w:pos="4252"/>
        <w:tab w:val="right" w:leader="none" w:pos="8504"/>
      </w:tabs>
      <w:spacing w:line="240" w:lineRule="auto"/>
      <w:jc w:val="right"/>
      <w:rPr>
        <w:b w:val="1"/>
        <w:sz w:val="20"/>
        <w:szCs w:val="20"/>
      </w:rPr>
    </w:pPr>
    <w:r w:rsidDel="00000000" w:rsidR="00000000" w:rsidRPr="00000000">
      <w:rPr>
        <w:rtl w:val="0"/>
      </w:rPr>
    </w:r>
  </w:p>
  <w:p w:rsidR="00000000" w:rsidDel="00000000" w:rsidP="00000000" w:rsidRDefault="00000000" w:rsidRPr="00000000" w14:paraId="0000015A">
    <w:pPr>
      <w:pBdr>
        <w:bottom w:color="000000" w:space="1" w:sz="12" w:val="single"/>
      </w:pBdr>
      <w:tabs>
        <w:tab w:val="center" w:leader="none" w:pos="4252"/>
        <w:tab w:val="right" w:leader="none" w:pos="8504"/>
      </w:tabs>
      <w:spacing w:line="240" w:lineRule="auto"/>
      <w:jc w:val="right"/>
      <w:rPr>
        <w:b w:val="1"/>
        <w:sz w:val="20"/>
        <w:szCs w:val="20"/>
      </w:rPr>
    </w:pPr>
    <w:r w:rsidDel="00000000" w:rsidR="00000000" w:rsidRPr="00000000">
      <w:rPr>
        <w:rtl w:val="0"/>
      </w:rPr>
    </w:r>
  </w:p>
  <w:p w:rsidR="00000000" w:rsidDel="00000000" w:rsidP="00000000" w:rsidRDefault="00000000" w:rsidRPr="00000000" w14:paraId="0000015B">
    <w:pPr>
      <w:tabs>
        <w:tab w:val="center" w:leader="none" w:pos="4252"/>
        <w:tab w:val="right" w:leader="none" w:pos="8504"/>
      </w:tabs>
      <w:spacing w:line="240" w:lineRule="auto"/>
      <w:jc w:val="right"/>
      <w:rPr>
        <w:b w:val="1"/>
        <w:sz w:val="20"/>
        <w:szCs w:val="20"/>
      </w:rPr>
    </w:pPr>
    <w:r w:rsidDel="00000000" w:rsidR="00000000" w:rsidRPr="00000000">
      <w:rPr>
        <w:rtl w:val="0"/>
      </w:rPr>
    </w:r>
  </w:p>
  <w:p w:rsidR="00000000" w:rsidDel="00000000" w:rsidP="00000000" w:rsidRDefault="00000000" w:rsidRPr="00000000" w14:paraId="0000015C">
    <w:pPr>
      <w:tabs>
        <w:tab w:val="center" w:leader="none" w:pos="4252"/>
        <w:tab w:val="right" w:leader="none" w:pos="8504"/>
      </w:tabs>
      <w:spacing w:line="240" w:lineRule="auto"/>
      <w:jc w:val="right"/>
      <w:rPr/>
    </w:pPr>
    <w:r w:rsidDel="00000000" w:rsidR="00000000" w:rsidRPr="00000000">
      <w:rPr>
        <w:b w:val="1"/>
        <w:sz w:val="20"/>
        <w:szCs w:val="20"/>
        <w:rtl w:val="0"/>
      </w:rPr>
      <w:t xml:space="preserve">PROJETO INTEGRADO – Iniciação no Direito Público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D">
    <w:pPr>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14F">
      <w:pPr>
        <w:spacing w:line="240" w:lineRule="auto"/>
        <w:rPr>
          <w:rFonts w:ascii="Verdana" w:cs="Verdana" w:eastAsia="Verdana" w:hAnsi="Verdana"/>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Verdana" w:cs="Verdana" w:eastAsia="Verdana" w:hAnsi="Verdana"/>
          <w:sz w:val="20"/>
          <w:szCs w:val="20"/>
          <w:rtl w:val="0"/>
        </w:rPr>
        <w:t xml:space="preserve">Conforme informações disponíveis em &lt;</w:t>
      </w:r>
      <w:hyperlink r:id="rId1">
        <w:r w:rsidDel="00000000" w:rsidR="00000000" w:rsidRPr="00000000">
          <w:rPr>
            <w:rFonts w:ascii="Verdana" w:cs="Verdana" w:eastAsia="Verdana" w:hAnsi="Verdana"/>
            <w:color w:val="1155cc"/>
            <w:sz w:val="20"/>
            <w:szCs w:val="20"/>
            <w:u w:val="single"/>
            <w:rtl w:val="0"/>
          </w:rPr>
          <w:t xml:space="preserve">https://www.jusbrasil.com.br/noticias/ 5-mitos-sobre-o-consumo-de-maconha-na-holanda/239382014</w:t>
        </w:r>
      </w:hyperlink>
      <w:r w:rsidDel="00000000" w:rsidR="00000000" w:rsidRPr="00000000">
        <w:rPr>
          <w:rFonts w:ascii="Verdana" w:cs="Verdana" w:eastAsia="Verdana" w:hAnsi="Verdana"/>
          <w:sz w:val="20"/>
          <w:szCs w:val="20"/>
          <w:rtl w:val="0"/>
        </w:rPr>
        <w:t xml:space="preserve">&gt;. Acesso em 10 de setembro de 2024.</w:t>
      </w:r>
    </w:p>
  </w:footnote>
  <w:footnote w:id="1">
    <w:p w:rsidR="00000000" w:rsidDel="00000000" w:rsidP="00000000" w:rsidRDefault="00000000" w:rsidRPr="00000000" w14:paraId="00000150">
      <w:pPr>
        <w:spacing w:line="240" w:lineRule="auto"/>
        <w:rPr>
          <w:rFonts w:ascii="Verdana" w:cs="Verdana" w:eastAsia="Verdana" w:hAnsi="Verdana"/>
          <w:sz w:val="20"/>
          <w:szCs w:val="20"/>
        </w:rPr>
      </w:pPr>
      <w:r w:rsidDel="00000000" w:rsidR="00000000" w:rsidRPr="00000000">
        <w:rPr>
          <w:rStyle w:val="FootnoteReference"/>
          <w:vertAlign w:val="superscript"/>
        </w:rPr>
        <w:footnoteRef/>
      </w:r>
      <w:r w:rsidDel="00000000" w:rsidR="00000000" w:rsidRPr="00000000">
        <w:rPr>
          <w:rFonts w:ascii="Verdana" w:cs="Verdana" w:eastAsia="Verdana" w:hAnsi="Verdana"/>
          <w:sz w:val="20"/>
          <w:szCs w:val="20"/>
          <w:rtl w:val="0"/>
        </w:rPr>
        <w:t xml:space="preserve"> Recurso Extraordinário (RE) 635659.</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1">
    <w:pPr>
      <w:tabs>
        <w:tab w:val="center" w:leader="none" w:pos="4252"/>
        <w:tab w:val="right" w:leader="none" w:pos="8504"/>
      </w:tabs>
      <w:spacing w:line="240" w:lineRule="auto"/>
      <w:jc w:val="right"/>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2">
    <w:pPr>
      <w:jc w:val="center"/>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3">
    <w:pPr>
      <w:tabs>
        <w:tab w:val="center" w:leader="none" w:pos="4252"/>
        <w:tab w:val="right" w:leader="none" w:pos="8504"/>
      </w:tabs>
      <w:spacing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54">
          <w:pPr>
            <w:tabs>
              <w:tab w:val="center" w:leader="none" w:pos="4252"/>
              <w:tab w:val="right" w:leader="none" w:pos="8504"/>
            </w:tabs>
            <w:rPr/>
          </w:pPr>
          <w:r w:rsidDel="00000000" w:rsidR="00000000" w:rsidRPr="00000000">
            <w:rPr/>
            <w:drawing>
              <wp:inline distB="114300" distT="114300" distL="114300" distR="114300">
                <wp:extent cx="966788" cy="287734"/>
                <wp:effectExtent b="0" l="0" r="0" t="0"/>
                <wp:docPr id="4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55">
          <w:pPr>
            <w:widowControl w:val="0"/>
            <w:jc w:val="right"/>
            <w:rPr>
              <w:b w:val="1"/>
              <w:sz w:val="20"/>
              <w:szCs w:val="20"/>
            </w:rPr>
          </w:pPr>
          <w:r w:rsidDel="00000000" w:rsidR="00000000" w:rsidRPr="00000000">
            <w:rPr>
              <w:b w:val="1"/>
              <w:sz w:val="20"/>
              <w:szCs w:val="20"/>
              <w:rtl w:val="0"/>
            </w:rPr>
            <w:t xml:space="preserve">ISSN 1677-5651</w:t>
          </w:r>
        </w:p>
      </w:tc>
    </w:tr>
  </w:tbl>
  <w:p w:rsidR="00000000" w:rsidDel="00000000" w:rsidP="00000000" w:rsidRDefault="00000000" w:rsidRPr="00000000" w14:paraId="00000156">
    <w:pPr>
      <w:tabs>
        <w:tab w:val="center" w:leader="none" w:pos="4252"/>
        <w:tab w:val="right" w:leader="none" w:pos="8504"/>
      </w:tabs>
      <w:spacing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4"/>
        <w:szCs w:val="24"/>
        <w:lang w:val="pt-BR"/>
      </w:rPr>
    </w:rPrDefault>
    <w:pPrDefault>
      <w:pPr>
        <w:spacing w:line="360" w:lineRule="auto"/>
        <w:ind w:firstLine="720"/>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BB36D1"/>
    <w:pPr>
      <w:spacing w:after="0" w:line="360" w:lineRule="auto"/>
      <w:ind w:firstLine="720"/>
      <w:jc w:val="both"/>
    </w:pPr>
    <w:rPr>
      <w:rFonts w:ascii="Arial" w:hAnsi="Arial"/>
      <w:sz w:val="24"/>
    </w:rPr>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NormalTable0" w:customStyle="1">
    <w:name w:val="Normal Table0"/>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0"/>
    <w:tblPr>
      <w:tblCellMar>
        <w:top w:w="0.0" w:type="dxa"/>
        <w:left w:w="0.0" w:type="dxa"/>
        <w:bottom w:w="0.0" w:type="dxa"/>
        <w:right w:w="0.0" w:type="dxa"/>
      </w:tblCellMar>
    </w:tblPr>
  </w:style>
  <w:style w:type="table" w:styleId="TableNormal1" w:customStyle="1">
    <w:name w:val="Table Normal1"/>
    <w:tblPr>
      <w:tblCellMar>
        <w:top w:w="0.0" w:type="dxa"/>
        <w:left w:w="0.0" w:type="dxa"/>
        <w:bottom w:w="0.0" w:type="dxa"/>
        <w:right w:w="0.0" w:type="dxa"/>
      </w:tblCellMar>
    </w:tblPr>
  </w:style>
  <w:style w:type="table" w:styleId="TableNormal2" w:customStyle="1">
    <w:name w:val="Table Normal2"/>
    <w:tblPr>
      <w:tblCellMar>
        <w:top w:w="0.0" w:type="dxa"/>
        <w:left w:w="0.0" w:type="dxa"/>
        <w:bottom w:w="0.0" w:type="dxa"/>
        <w:right w:w="0.0" w:type="dxa"/>
      </w:tblCellMar>
    </w:tblPr>
  </w:style>
  <w:style w:type="table" w:styleId="TableNormal3" w:customStyle="1">
    <w:name w:val="Table Normal3"/>
    <w:tblPr>
      <w:tblCellMar>
        <w:top w:w="0.0" w:type="dxa"/>
        <w:left w:w="0.0" w:type="dxa"/>
        <w:bottom w:w="0.0" w:type="dxa"/>
        <w:right w:w="0.0" w:type="dxa"/>
      </w:tblCellMar>
    </w:tblPr>
  </w:style>
  <w:style w:type="table" w:styleId="TableNormal4" w:customStyle="1">
    <w:name w:val="Table Normal4"/>
    <w:tblPr>
      <w:tblCellMar>
        <w:top w:w="0.0" w:type="dxa"/>
        <w:left w:w="0.0" w:type="dxa"/>
        <w:bottom w:w="0.0" w:type="dxa"/>
        <w:right w:w="0.0" w:type="dxa"/>
      </w:tblCellMar>
    </w:tblPr>
  </w:style>
  <w:style w:type="table" w:styleId="TableNormal5" w:customStyle="1">
    <w:name w:val="Table Normal5"/>
    <w:tblPr>
      <w:tblCellMar>
        <w:top w:w="0.0" w:type="dxa"/>
        <w:left w:w="0.0" w:type="dxa"/>
        <w:bottom w:w="0.0" w:type="dxa"/>
        <w:right w:w="0.0" w:type="dxa"/>
      </w:tblCellMar>
    </w:tblPr>
  </w:style>
  <w:style w:type="table" w:styleId="TableNormal6" w:customStyle="1">
    <w:name w:val="Table Normal6"/>
    <w:tblPr>
      <w:tblCellMar>
        <w:top w:w="0.0" w:type="dxa"/>
        <w:left w:w="0.0" w:type="dxa"/>
        <w:bottom w:w="0.0" w:type="dxa"/>
        <w:right w:w="0.0" w:type="dxa"/>
      </w:tblCellMar>
    </w:tblPr>
  </w:style>
  <w:style w:type="table" w:styleId="TableNormal7" w:customStyle="1">
    <w:name w:val="Table Normal7"/>
    <w:tblPr>
      <w:tblCellMar>
        <w:top w:w="0.0" w:type="dxa"/>
        <w:left w:w="0.0" w:type="dxa"/>
        <w:bottom w:w="0.0" w:type="dxa"/>
        <w:right w:w="0.0" w:type="dxa"/>
      </w:tblCellMar>
    </w:tblPr>
  </w:style>
  <w:style w:type="table" w:styleId="TableNormal8" w:customStyle="1">
    <w:name w:val="Table Normal8"/>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8"/>
    <w:pPr>
      <w:spacing w:after="0" w:line="240" w:lineRule="auto"/>
    </w:pPr>
    <w:tblPr>
      <w:tblStyleRowBandSize w:val="1"/>
      <w:tblStyleColBandSize w:val="1"/>
      <w:tblCellMar>
        <w:left w:w="108.0" w:type="dxa"/>
        <w:right w:w="108.0" w:type="dxa"/>
      </w:tblCellMar>
    </w:tblPr>
  </w:style>
  <w:style w:type="table" w:styleId="a0" w:customStyle="1">
    <w:basedOn w:val="TableNormal8"/>
    <w:pPr>
      <w:spacing w:after="0" w:line="240" w:lineRule="auto"/>
    </w:pPr>
    <w:tblPr>
      <w:tblStyleRowBandSize w:val="1"/>
      <w:tblStyleColBandSize w:val="1"/>
      <w:tblCellMar>
        <w:left w:w="108.0" w:type="dxa"/>
        <w:right w:w="108.0" w:type="dxa"/>
      </w:tblCellMar>
    </w:tblPr>
  </w:style>
  <w:style w:type="table" w:styleId="a1" w:customStyle="1">
    <w:basedOn w:val="TableNormal8"/>
    <w:pPr>
      <w:spacing w:after="0" w:line="240" w:lineRule="auto"/>
    </w:pPr>
    <w:tblPr>
      <w:tblStyleRowBandSize w:val="1"/>
      <w:tblStyleColBandSize w:val="1"/>
      <w:tblCellMar>
        <w:left w:w="108.0" w:type="dxa"/>
        <w:right w:w="108.0" w:type="dxa"/>
      </w:tblCellMar>
    </w:tblPr>
  </w:style>
  <w:style w:type="table" w:styleId="a2" w:customStyle="1">
    <w:basedOn w:val="TableNormal8"/>
    <w:pPr>
      <w:spacing w:after="0" w:line="240" w:lineRule="auto"/>
    </w:pPr>
    <w:tblPr>
      <w:tblStyleRowBandSize w:val="1"/>
      <w:tblStyleColBandSize w:val="1"/>
      <w:tblCellMar>
        <w:left w:w="108.0" w:type="dxa"/>
        <w:right w:w="108.0" w:type="dxa"/>
      </w:tblCellMar>
    </w:tblPr>
  </w:style>
  <w:style w:type="table" w:styleId="a3" w:customStyle="1">
    <w:basedOn w:val="TableNormal8"/>
    <w:pPr>
      <w:spacing w:after="0" w:line="240" w:lineRule="auto"/>
    </w:pPr>
    <w:tblPr>
      <w:tblStyleRowBandSize w:val="1"/>
      <w:tblStyleColBandSize w:val="1"/>
      <w:tblCellMar>
        <w:left w:w="108.0" w:type="dxa"/>
        <w:right w:w="108.0" w:type="dxa"/>
      </w:tblCellMar>
    </w:tblPr>
  </w:style>
  <w:style w:type="table" w:styleId="a4" w:customStyle="1">
    <w:basedOn w:val="TableNormal8"/>
    <w:pPr>
      <w:spacing w:after="0" w:line="240" w:lineRule="auto"/>
    </w:pPr>
    <w:tblPr>
      <w:tblStyleRowBandSize w:val="1"/>
      <w:tblStyleColBandSize w:val="1"/>
      <w:tblCellMar>
        <w:left w:w="108.0" w:type="dxa"/>
        <w:right w:w="108.0" w:type="dxa"/>
      </w:tblCellMar>
    </w:tblPr>
  </w:style>
  <w:style w:type="table" w:styleId="a5" w:customStyle="1">
    <w:basedOn w:val="TableNormal8"/>
    <w:pPr>
      <w:spacing w:after="0" w:line="240" w:lineRule="auto"/>
    </w:pPr>
    <w:tblPr>
      <w:tblStyleRowBandSize w:val="1"/>
      <w:tblStyleColBandSize w:val="1"/>
      <w:tblCellMar>
        <w:left w:w="108.0" w:type="dxa"/>
        <w:right w:w="108.0" w:type="dxa"/>
      </w:tblCellMar>
    </w:tblPr>
  </w:style>
  <w:style w:type="table" w:styleId="a6" w:customStyle="1">
    <w:basedOn w:val="TableNormal8"/>
    <w:pPr>
      <w:spacing w:after="0" w:line="240" w:lineRule="auto"/>
    </w:pPr>
    <w:tblPr>
      <w:tblStyleRowBandSize w:val="1"/>
      <w:tblStyleColBandSize w:val="1"/>
      <w:tblCellMar>
        <w:left w:w="108.0" w:type="dxa"/>
        <w:right w:w="108.0" w:type="dxa"/>
      </w:tblCellMar>
    </w:tblPr>
  </w:style>
  <w:style w:type="table" w:styleId="a7"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8" w:customStyle="1">
    <w:basedOn w:val="TableNormal8"/>
    <w:pPr>
      <w:spacing w:after="0" w:line="240" w:lineRule="auto"/>
    </w:pPr>
    <w:tblPr>
      <w:tblStyleRowBandSize w:val="1"/>
      <w:tblStyleColBandSize w:val="1"/>
      <w:tblCellMar>
        <w:left w:w="108.0" w:type="dxa"/>
        <w:right w:w="108.0" w:type="dxa"/>
      </w:tblCellMar>
    </w:tblPr>
  </w:style>
  <w:style w:type="table" w:styleId="a9" w:customStyle="1">
    <w:basedOn w:val="TableNormal8"/>
    <w:pPr>
      <w:spacing w:after="0" w:line="240" w:lineRule="auto"/>
    </w:pPr>
    <w:tblPr>
      <w:tblStyleRowBandSize w:val="1"/>
      <w:tblStyleColBandSize w:val="1"/>
      <w:tblCellMar>
        <w:left w:w="108.0" w:type="dxa"/>
        <w:right w:w="108.0" w:type="dxa"/>
      </w:tblCellMar>
    </w:tblPr>
  </w:style>
  <w:style w:type="table" w:styleId="aa"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b"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c"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d"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e"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0"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1"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2"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4"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5"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d"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e"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f"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f0"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f1"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table" w:styleId="aff2" w:customStyle="1">
    <w:basedOn w:val="TableNormal8"/>
    <w:pPr>
      <w:spacing w:after="0" w:line="240" w:lineRule="auto"/>
    </w:pPr>
    <w:tblPr>
      <w:tblStyleRowBandSize w:val="1"/>
      <w:tblStyleColBandSize w:val="1"/>
      <w:tblCellMar>
        <w:top w:w="100.0" w:type="dxa"/>
        <w:left w:w="100.0" w:type="dxa"/>
        <w:bottom w:w="100.0" w:type="dxa"/>
        <w:right w:w="100.0" w:type="dxa"/>
      </w:tblCellMar>
    </w:tblPr>
  </w:style>
  <w:style w:type="paragraph" w:styleId="PargrafodaLista">
    <w:name w:val="List Paragraph"/>
    <w:basedOn w:val="Normal"/>
    <w:uiPriority w:val="34"/>
    <w:qFormat w:val="1"/>
    <w:rsid w:val="003A18AC"/>
    <w:pPr>
      <w:ind w:left="720"/>
      <w:contextualSpacing w:val="1"/>
    </w:pPr>
  </w:style>
  <w:style w:type="paragraph" w:styleId="NormalWeb">
    <w:name w:val="Normal (Web)"/>
    <w:basedOn w:val="Normal"/>
    <w:uiPriority w:val="99"/>
    <w:semiHidden w:val="1"/>
    <w:unhideWhenUsed w:val="1"/>
    <w:rsid w:val="00030910"/>
    <w:pPr>
      <w:spacing w:after="100" w:afterAutospacing="1" w:before="100" w:beforeAutospacing="1" w:line="240" w:lineRule="auto"/>
    </w:pPr>
    <w:rPr>
      <w:rFonts w:ascii="Times New Roman" w:cs="Times New Roman" w:eastAsia="Times New Roman" w:hAnsi="Times New Roman"/>
      <w:szCs w:val="24"/>
    </w:rPr>
  </w:style>
  <w:style w:type="character" w:styleId="Hyperlink">
    <w:name w:val="Hyperlink"/>
    <w:basedOn w:val="Fontepargpadro"/>
    <w:uiPriority w:val="99"/>
    <w:unhideWhenUsed w:val="1"/>
    <w:rPr>
      <w:color w:val="0000ff" w:themeColor="hyperlink"/>
      <w:u w:val="single"/>
    </w:rPr>
  </w:style>
  <w:style w:type="paragraph" w:styleId="Cabealho">
    <w:name w:val="header"/>
    <w:basedOn w:val="Normal"/>
    <w:link w:val="CabealhoChar"/>
    <w:uiPriority w:val="99"/>
    <w:semiHidden w:val="1"/>
    <w:unhideWhenUsed w:val="1"/>
    <w:rsid w:val="005171D2"/>
    <w:pPr>
      <w:tabs>
        <w:tab w:val="center" w:pos="4252"/>
        <w:tab w:val="right" w:pos="8504"/>
      </w:tabs>
      <w:spacing w:line="240" w:lineRule="auto"/>
    </w:pPr>
  </w:style>
  <w:style w:type="character" w:styleId="CabealhoChar" w:customStyle="1">
    <w:name w:val="Cabeçalho Char"/>
    <w:basedOn w:val="Fontepargpadro"/>
    <w:link w:val="Cabealho"/>
    <w:uiPriority w:val="99"/>
    <w:semiHidden w:val="1"/>
    <w:rsid w:val="005171D2"/>
  </w:style>
  <w:style w:type="paragraph" w:styleId="Rodap">
    <w:name w:val="footer"/>
    <w:basedOn w:val="Normal"/>
    <w:link w:val="RodapChar"/>
    <w:uiPriority w:val="99"/>
    <w:semiHidden w:val="1"/>
    <w:unhideWhenUsed w:val="1"/>
    <w:rsid w:val="005171D2"/>
    <w:pPr>
      <w:tabs>
        <w:tab w:val="center" w:pos="4252"/>
        <w:tab w:val="right" w:pos="8504"/>
      </w:tabs>
      <w:spacing w:line="240" w:lineRule="auto"/>
    </w:pPr>
  </w:style>
  <w:style w:type="character" w:styleId="RodapChar" w:customStyle="1">
    <w:name w:val="Rodapé Char"/>
    <w:basedOn w:val="Fontepargpadro"/>
    <w:link w:val="Rodap"/>
    <w:uiPriority w:val="99"/>
    <w:semiHidden w:val="1"/>
    <w:rsid w:val="005171D2"/>
  </w:style>
  <w:style w:type="character" w:styleId="MenoPendente">
    <w:name w:val="Unresolved Mention"/>
    <w:basedOn w:val="Fontepargpadro"/>
    <w:uiPriority w:val="99"/>
    <w:semiHidden w:val="1"/>
    <w:unhideWhenUsed w:val="1"/>
    <w:rsid w:val="005171D2"/>
    <w:rPr>
      <w:color w:val="605e5c"/>
      <w:shd w:color="auto" w:fill="e1dfdd" w:val="clear"/>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planalto.gov.br/ccivil_03/decreto-lei/del2848compilado.htm" TargetMode="External"/><Relationship Id="rId22" Type="http://schemas.openxmlformats.org/officeDocument/2006/relationships/hyperlink" Target="https://redir.stf.jus.br/paginadorpub/paginador.jsp?docTP=TP&amp;docID=4622946" TargetMode="External"/><Relationship Id="rId21" Type="http://schemas.openxmlformats.org/officeDocument/2006/relationships/hyperlink" Target="https://www.planalto.gov.br/ccivil_03/_ato2015-2018/2017/lei/l13445.htm" TargetMode="External"/><Relationship Id="rId24" Type="http://schemas.openxmlformats.org/officeDocument/2006/relationships/hyperlink" Target="https://portal.stf.jus.br/processos/detalhe.asp?incidente=4397298" TargetMode="External"/><Relationship Id="rId23" Type="http://schemas.openxmlformats.org/officeDocument/2006/relationships/hyperlink" Target="https://redir.stf.jus.br/paginadorpub/paginador.jsp?docTP=TP&amp;docID=748257379"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microsoft.com/office/2011/relationships/commentsExtended" Target="commentsExtended.xml"/><Relationship Id="rId26" Type="http://schemas.openxmlformats.org/officeDocument/2006/relationships/hyperlink" Target="https://integrada.minhabiblioteca.com.br/reader/books/9788553621958/%3e" TargetMode="External"/><Relationship Id="rId25" Type="http://schemas.openxmlformats.org/officeDocument/2006/relationships/hyperlink" Target="https://www.jusbrasil.com.br/noticias/5-mitos-sobre-o-consumo-de-maconha-na-holanda/239382014" TargetMode="External"/><Relationship Id="rId5" Type="http://schemas.openxmlformats.org/officeDocument/2006/relationships/footnotes" Target="footnotes.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customXml" Target="../customXML/item1.xml"/><Relationship Id="rId11" Type="http://schemas.openxmlformats.org/officeDocument/2006/relationships/header" Target="header1.xml"/><Relationship Id="rId10" Type="http://schemas.openxmlformats.org/officeDocument/2006/relationships/image" Target="media/image1.png"/><Relationship Id="rId13" Type="http://schemas.openxmlformats.org/officeDocument/2006/relationships/footer" Target="footer1.xml"/><Relationship Id="rId12" Type="http://schemas.openxmlformats.org/officeDocument/2006/relationships/header" Target="header2.xml"/><Relationship Id="rId15" Type="http://schemas.openxmlformats.org/officeDocument/2006/relationships/header" Target="header3.xml"/><Relationship Id="rId14" Type="http://schemas.openxmlformats.org/officeDocument/2006/relationships/footer" Target="footer2.xml"/><Relationship Id="rId17" Type="http://schemas.openxmlformats.org/officeDocument/2006/relationships/footer" Target="footer4.xml"/><Relationship Id="rId16" Type="http://schemas.openxmlformats.org/officeDocument/2006/relationships/footer" Target="footer3.xml"/><Relationship Id="rId19" Type="http://schemas.openxmlformats.org/officeDocument/2006/relationships/hyperlink" Target="https://integrada.minhabiblioteca.com.br/reader/books/9788502202641/%3e" TargetMode="External"/><Relationship Id="rId18" Type="http://schemas.openxmlformats.org/officeDocument/2006/relationships/hyperlink" Target="https://integrada.minhabiblioteca.com.br/reader/books/978855362113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jusbrasil.com.br/noticias/5-mitos-sobre-o-consumo-de-maconha-na-holanda/239382014"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7UnvrpGOvcxivV3opjJvpfWvVQ==">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2024-11-17T14:23:00Z</dcterms:created>
  <dc:creator>Usuario</dc:creator>
</cp:coreProperties>
</file>