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Arial" w:cs="Arial" w:eastAsia="Arial" w:hAnsi="Arial"/>
          <w:sz w:val="28"/>
          <w:szCs w:val="28"/>
        </w:rPr>
      </w:pPr>
      <w:r w:rsidDel="00000000" w:rsidR="00000000" w:rsidRPr="00000000">
        <w:rPr>
          <w:rFonts w:ascii="Arial" w:cs="Arial" w:eastAsia="Arial" w:hAnsi="Arial"/>
        </w:rPr>
        <w:drawing>
          <wp:inline distB="114300" distT="114300" distL="114300" distR="114300">
            <wp:extent cx="2343150" cy="704850"/>
            <wp:effectExtent b="0" l="0" r="0" t="0"/>
            <wp:docPr id="49"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UNIFEOB</w:t>
      </w:r>
    </w:p>
    <w:p w:rsidR="00000000" w:rsidDel="00000000" w:rsidP="00000000" w:rsidRDefault="00000000" w:rsidRPr="00000000" w14:paraId="00000005">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CURSO DE DIREITO</w:t>
      </w:r>
    </w:p>
    <w:p w:rsidR="00000000" w:rsidDel="00000000" w:rsidP="00000000" w:rsidRDefault="00000000" w:rsidRPr="00000000" w14:paraId="00000007">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Arial" w:cs="Arial" w:eastAsia="Arial" w:hAnsi="Arial"/>
          <w:b w:val="1"/>
          <w:sz w:val="36"/>
          <w:szCs w:val="36"/>
        </w:rPr>
      </w:pPr>
      <w:r w:rsidDel="00000000" w:rsidR="00000000" w:rsidRPr="00000000">
        <w:rPr>
          <w:rFonts w:ascii="Arial" w:cs="Arial" w:eastAsia="Arial" w:hAnsi="Arial"/>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Arial" w:cs="Arial" w:eastAsia="Arial" w:hAnsi="Arial"/>
          <w:sz w:val="36"/>
          <w:szCs w:val="36"/>
        </w:rPr>
      </w:pPr>
      <w:r w:rsidDel="00000000" w:rsidR="00000000" w:rsidRPr="00000000">
        <w:rPr>
          <w:rFonts w:ascii="Arial" w:cs="Arial" w:eastAsia="Arial" w:hAnsi="Arial"/>
          <w:sz w:val="36"/>
          <w:szCs w:val="36"/>
          <w:rtl w:val="0"/>
        </w:rPr>
        <w:t xml:space="preserve">PARECER JURÍDICO</w:t>
      </w:r>
    </w:p>
    <w:p w:rsidR="00000000" w:rsidDel="00000000" w:rsidP="00000000" w:rsidRDefault="00000000" w:rsidRPr="00000000" w14:paraId="0000000F">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0">
      <w:pPr>
        <w:spacing w:after="0" w:line="360" w:lineRule="auto"/>
        <w:jc w:val="center"/>
        <w:rPr>
          <w:rFonts w:ascii="Arial" w:cs="Arial" w:eastAsia="Arial" w:hAnsi="Arial"/>
        </w:rPr>
      </w:pPr>
      <w:r w:rsidDel="00000000" w:rsidR="00000000" w:rsidRPr="00000000">
        <w:rPr>
          <w:rFonts w:ascii="Arial" w:cs="Arial" w:eastAsia="Arial" w:hAnsi="Arial"/>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2">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3">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14">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Arial" w:cs="Arial" w:eastAsia="Arial" w:hAnsi="Arial"/>
          <w:sz w:val="36"/>
          <w:szCs w:val="36"/>
        </w:rPr>
      </w:pPr>
      <w:r w:rsidDel="00000000" w:rsidR="00000000" w:rsidRPr="00000000">
        <w:rPr>
          <w:rFonts w:ascii="Arial" w:cs="Arial" w:eastAsia="Arial" w:hAnsi="Arial"/>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2024</w:t>
      </w:r>
    </w:p>
    <w:p w:rsidR="00000000" w:rsidDel="00000000" w:rsidP="00000000" w:rsidRDefault="00000000" w:rsidRPr="00000000" w14:paraId="0000001C">
      <w:pPr>
        <w:spacing w:line="360" w:lineRule="auto"/>
        <w:jc w:val="center"/>
        <w:rPr>
          <w:rFonts w:ascii="Arial" w:cs="Arial" w:eastAsia="Arial" w:hAnsi="Arial"/>
          <w:sz w:val="28"/>
          <w:szCs w:val="28"/>
        </w:rPr>
      </w:pPr>
      <w:r w:rsidDel="00000000" w:rsidR="00000000" w:rsidRPr="00000000">
        <w:rPr>
          <w:rFonts w:ascii="Arial" w:cs="Arial" w:eastAsia="Arial" w:hAnsi="Arial"/>
        </w:rPr>
        <w:drawing>
          <wp:inline distB="114300" distT="114300" distL="114300" distR="114300">
            <wp:extent cx="2343150" cy="704850"/>
            <wp:effectExtent b="0" l="0" r="0" t="0"/>
            <wp:docPr id="51"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UNIFEOB</w:t>
      </w:r>
    </w:p>
    <w:p w:rsidR="00000000" w:rsidDel="00000000" w:rsidP="00000000" w:rsidRDefault="00000000" w:rsidRPr="00000000" w14:paraId="0000001E">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Centro Universitário da Fundação de Ensino Octávio Bastos</w:t>
      </w:r>
    </w:p>
    <w:p w:rsidR="00000000" w:rsidDel="00000000" w:rsidP="00000000" w:rsidRDefault="00000000" w:rsidRPr="00000000" w14:paraId="0000001F">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CURSO DE DIREITO</w:t>
      </w:r>
    </w:p>
    <w:p w:rsidR="00000000" w:rsidDel="00000000" w:rsidP="00000000" w:rsidRDefault="00000000" w:rsidRPr="00000000" w14:paraId="00000020">
      <w:pPr>
        <w:spacing w:after="0" w:line="360" w:lineRule="auto"/>
        <w:jc w:val="center"/>
        <w:rPr>
          <w:rFonts w:ascii="Arial" w:cs="Arial" w:eastAsia="Arial" w:hAnsi="Arial"/>
          <w:sz w:val="28"/>
          <w:szCs w:val="28"/>
        </w:rPr>
      </w:pPr>
      <w:r w:rsidDel="00000000" w:rsidR="00000000" w:rsidRPr="00000000">
        <w:rPr>
          <w:rtl w:val="0"/>
        </w:rPr>
      </w:r>
    </w:p>
    <w:p w:rsidR="00000000" w:rsidDel="00000000" w:rsidP="00000000" w:rsidRDefault="00000000" w:rsidRPr="00000000" w14:paraId="00000021">
      <w:pPr>
        <w:spacing w:after="0" w:line="360" w:lineRule="auto"/>
        <w:jc w:val="center"/>
        <w:rPr>
          <w:rFonts w:ascii="Arial" w:cs="Arial" w:eastAsia="Arial" w:hAnsi="Arial"/>
          <w:b w:val="1"/>
          <w:sz w:val="36"/>
          <w:szCs w:val="36"/>
        </w:rPr>
      </w:pPr>
      <w:r w:rsidDel="00000000" w:rsidR="00000000" w:rsidRPr="00000000">
        <w:rPr>
          <w:rFonts w:ascii="Arial" w:cs="Arial" w:eastAsia="Arial" w:hAnsi="Arial"/>
          <w:b w:val="1"/>
          <w:sz w:val="36"/>
          <w:szCs w:val="36"/>
          <w:rtl w:val="0"/>
        </w:rPr>
        <w:t xml:space="preserve">PROJETO INTEGRADO</w:t>
      </w:r>
    </w:p>
    <w:p w:rsidR="00000000" w:rsidDel="00000000" w:rsidP="00000000" w:rsidRDefault="00000000" w:rsidRPr="00000000" w14:paraId="00000022">
      <w:pPr>
        <w:spacing w:after="0" w:line="360" w:lineRule="auto"/>
        <w:jc w:val="center"/>
        <w:rPr>
          <w:rFonts w:ascii="Arial" w:cs="Arial" w:eastAsia="Arial" w:hAnsi="Arial"/>
        </w:rPr>
      </w:pPr>
      <w:r w:rsidDel="00000000" w:rsidR="00000000" w:rsidRPr="00000000">
        <w:rPr>
          <w:rFonts w:ascii="Arial" w:cs="Arial" w:eastAsia="Arial" w:hAnsi="Arial"/>
          <w:sz w:val="36"/>
          <w:szCs w:val="36"/>
          <w:rtl w:val="0"/>
        </w:rPr>
        <w:t xml:space="preserve">PARECER JURÍDICO</w:t>
      </w:r>
      <w:r w:rsidDel="00000000" w:rsidR="00000000" w:rsidRPr="00000000">
        <w:rPr>
          <w:rtl w:val="0"/>
        </w:rPr>
      </w:r>
    </w:p>
    <w:p w:rsidR="00000000" w:rsidDel="00000000" w:rsidP="00000000" w:rsidRDefault="00000000" w:rsidRPr="00000000" w14:paraId="00000023">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4">
      <w:pPr>
        <w:spacing w:after="0" w:line="360" w:lineRule="auto"/>
        <w:jc w:val="center"/>
        <w:rPr>
          <w:rFonts w:ascii="Arial" w:cs="Arial" w:eastAsia="Arial" w:hAnsi="Arial"/>
          <w:sz w:val="28"/>
          <w:szCs w:val="28"/>
        </w:rPr>
      </w:pPr>
      <w:r w:rsidDel="00000000" w:rsidR="00000000" w:rsidRPr="00000000">
        <w:rPr>
          <w:rFonts w:ascii="Arial" w:cs="Arial" w:eastAsia="Arial" w:hAnsi="Arial"/>
          <w:sz w:val="28"/>
          <w:szCs w:val="28"/>
          <w:rtl w:val="0"/>
        </w:rPr>
        <w:t xml:space="preserve">ISSN 1677-5651</w:t>
      </w:r>
    </w:p>
    <w:p w:rsidR="00000000" w:rsidDel="00000000" w:rsidP="00000000" w:rsidRDefault="00000000" w:rsidRPr="00000000" w14:paraId="00000025">
      <w:pPr>
        <w:spacing w:after="0" w:line="360" w:lineRule="auto"/>
        <w:jc w:val="center"/>
        <w:rPr>
          <w:rFonts w:ascii="Arial" w:cs="Arial" w:eastAsia="Arial" w:hAnsi="Arial"/>
        </w:rPr>
      </w:pPr>
      <w:r w:rsidDel="00000000" w:rsidR="00000000" w:rsidRPr="00000000">
        <w:rPr>
          <w:rtl w:val="0"/>
        </w:rPr>
      </w:r>
    </w:p>
    <w:p w:rsidR="00000000" w:rsidDel="00000000" w:rsidP="00000000" w:rsidRDefault="00000000" w:rsidRPr="00000000" w14:paraId="00000026">
      <w:pPr>
        <w:spacing w:after="0" w:line="360" w:lineRule="auto"/>
        <w:jc w:val="both"/>
        <w:rPr>
          <w:rFonts w:ascii="Arial" w:cs="Arial" w:eastAsia="Arial" w:hAnsi="Arial"/>
          <w:sz w:val="36"/>
          <w:szCs w:val="36"/>
        </w:rPr>
      </w:pPr>
      <w:r w:rsidDel="00000000" w:rsidR="00000000" w:rsidRPr="00000000">
        <w:rPr>
          <w:rFonts w:ascii="Arial" w:cs="Arial" w:eastAsia="Arial" w:hAnsi="Arial"/>
          <w:sz w:val="24"/>
          <w:szCs w:val="24"/>
          <w:rtl w:val="0"/>
        </w:rPr>
        <w:t xml:space="preserve">Iniciação no Direito Privado — Turma Única — Período Matutino </w:t>
      </w:r>
      <w:r w:rsidDel="00000000" w:rsidR="00000000" w:rsidRPr="00000000">
        <w:rPr>
          <w:rtl w:val="0"/>
        </w:rPr>
      </w:r>
    </w:p>
    <w:p w:rsidR="00000000" w:rsidDel="00000000" w:rsidP="00000000" w:rsidRDefault="00000000" w:rsidRPr="00000000" w14:paraId="00000027">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28">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Professores</w:t>
      </w:r>
    </w:p>
    <w:p w:rsidR="00000000" w:rsidDel="00000000" w:rsidP="00000000" w:rsidRDefault="00000000" w:rsidRPr="00000000" w14:paraId="00000029">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Proced. Comum e Tutelas de Provisórias no Proc. Civil: Profa. Ms. Rosana Ribeiro da Silva</w:t>
      </w:r>
    </w:p>
    <w:p w:rsidR="00000000" w:rsidDel="00000000" w:rsidP="00000000" w:rsidRDefault="00000000" w:rsidRPr="00000000" w14:paraId="0000002A">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 da Personalidade, Bens, Neg. Jurídicos, Obrigações e R. Civil: Profa. Daniele A. Cassucci de Lima e Profa. Ms. Ildelisa Cabral</w:t>
      </w:r>
    </w:p>
    <w:p w:rsidR="00000000" w:rsidDel="00000000" w:rsidP="00000000" w:rsidRDefault="00000000" w:rsidRPr="00000000" w14:paraId="0000002B">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 Empresarial: Prof. Ms. Luiz Francisco S. de Faria e Prof. Ms. João Fernando A. Palomo</w:t>
      </w:r>
    </w:p>
    <w:p w:rsidR="00000000" w:rsidDel="00000000" w:rsidP="00000000" w:rsidRDefault="00000000" w:rsidRPr="00000000" w14:paraId="0000002C">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Elaborador do texto:  Prof. Rafael Bragagnole Cambaúva</w:t>
      </w:r>
    </w:p>
    <w:p w:rsidR="00000000" w:rsidDel="00000000" w:rsidP="00000000" w:rsidRDefault="00000000" w:rsidRPr="00000000" w14:paraId="0000002D">
      <w:pPr>
        <w:spacing w:after="0" w:line="360" w:lineRule="auto"/>
        <w:jc w:val="both"/>
        <w:rPr>
          <w:rFonts w:ascii="Arial" w:cs="Arial" w:eastAsia="Arial" w:hAnsi="Arial"/>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2E">
            <w:pPr>
              <w:widowControl w:val="0"/>
              <w:jc w:val="center"/>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2F">
            <w:pPr>
              <w:widowControl w:val="0"/>
              <w:jc w:val="center"/>
              <w:rPr>
                <w:rFonts w:ascii="Arial" w:cs="Arial" w:eastAsia="Arial" w:hAnsi="Arial"/>
                <w:b w:val="1"/>
                <w:sz w:val="44"/>
                <w:szCs w:val="44"/>
              </w:rPr>
            </w:pPr>
            <w:r w:rsidDel="00000000" w:rsidR="00000000" w:rsidRPr="00000000">
              <w:rPr>
                <w:rFonts w:ascii="Arial" w:cs="Arial" w:eastAsia="Arial" w:hAnsi="Arial"/>
                <w:b w:val="1"/>
                <w:sz w:val="44"/>
                <w:szCs w:val="44"/>
                <w:rtl w:val="0"/>
              </w:rPr>
              <w:t xml:space="preserve">1,7</w:t>
            </w:r>
          </w:p>
        </w:tc>
      </w:tr>
    </w:tbl>
    <w:p w:rsidR="00000000" w:rsidDel="00000000" w:rsidP="00000000" w:rsidRDefault="00000000" w:rsidRPr="00000000" w14:paraId="00000030">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Estudantes</w:t>
      </w:r>
    </w:p>
    <w:p w:rsidR="00000000" w:rsidDel="00000000" w:rsidP="00000000" w:rsidRDefault="00000000" w:rsidRPr="00000000" w14:paraId="00000031">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Bruna Raphaela Teixeira Tramonte, 23001147</w:t>
      </w:r>
    </w:p>
    <w:p w:rsidR="00000000" w:rsidDel="00000000" w:rsidP="00000000" w:rsidRDefault="00000000" w:rsidRPr="00000000" w14:paraId="00000032">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João Pedro Barbosa Paiva, 23000620</w:t>
      </w:r>
    </w:p>
    <w:p w:rsidR="00000000" w:rsidDel="00000000" w:rsidP="00000000" w:rsidRDefault="00000000" w:rsidRPr="00000000" w14:paraId="00000033">
      <w:pPr>
        <w:spacing w:after="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Pedro Henrique Azevedo Silva, 23000346</w:t>
      </w:r>
    </w:p>
    <w:p w:rsidR="00000000" w:rsidDel="00000000" w:rsidP="00000000" w:rsidRDefault="00000000" w:rsidRPr="00000000" w14:paraId="00000034">
      <w:pPr>
        <w:jc w:val="center"/>
        <w:rPr>
          <w:rFonts w:ascii="Arial" w:cs="Arial" w:eastAsia="Arial" w:hAnsi="Arial"/>
          <w:sz w:val="24"/>
          <w:szCs w:val="24"/>
        </w:rPr>
      </w:pPr>
      <w:r w:rsidDel="00000000" w:rsidR="00000000" w:rsidRPr="00000000">
        <w:rPr>
          <w:rFonts w:ascii="Arial" w:cs="Arial" w:eastAsia="Arial" w:hAnsi="Arial"/>
        </w:rPr>
        <w:drawing>
          <wp:inline distB="114300" distT="114300" distL="114300" distR="114300">
            <wp:extent cx="2343150" cy="704850"/>
            <wp:effectExtent b="0" l="0" r="0" t="0"/>
            <wp:docPr id="50"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5">
      <w:pPr>
        <w:spacing w:after="0" w:lineRule="auto"/>
        <w:jc w:val="center"/>
        <w:rPr>
          <w:rFonts w:ascii="Arial" w:cs="Arial" w:eastAsia="Arial" w:hAnsi="Arial"/>
          <w:b w:val="1"/>
        </w:rPr>
      </w:pPr>
      <w:r w:rsidDel="00000000" w:rsidR="00000000" w:rsidRPr="00000000">
        <w:rPr>
          <w:rtl w:val="0"/>
        </w:rPr>
      </w:r>
    </w:p>
    <w:p w:rsidR="00000000" w:rsidDel="00000000" w:rsidP="00000000" w:rsidRDefault="00000000" w:rsidRPr="00000000" w14:paraId="00000036">
      <w:pPr>
        <w:spacing w:after="0" w:lineRule="auto"/>
        <w:jc w:val="center"/>
        <w:rPr>
          <w:rFonts w:ascii="Arial" w:cs="Arial" w:eastAsia="Arial" w:hAnsi="Arial"/>
          <w:b w:val="1"/>
        </w:rPr>
      </w:pPr>
      <w:r w:rsidDel="00000000" w:rsidR="00000000" w:rsidRPr="00000000">
        <w:rPr>
          <w:rtl w:val="0"/>
        </w:rPr>
      </w:r>
    </w:p>
    <w:tbl>
      <w:tblPr>
        <w:tblStyle w:val="Table2"/>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7">
            <w:pPr>
              <w:jc w:val="center"/>
              <w:rPr>
                <w:rFonts w:ascii="Arial" w:cs="Arial" w:eastAsia="Arial" w:hAnsi="Arial"/>
                <w:b w:val="1"/>
                <w:sz w:val="24"/>
                <w:szCs w:val="24"/>
              </w:rPr>
            </w:pPr>
            <w:r w:rsidDel="00000000" w:rsidR="00000000" w:rsidRPr="00000000">
              <w:rPr>
                <w:rFonts w:ascii="Arial" w:cs="Arial" w:eastAsia="Arial" w:hAnsi="Arial"/>
                <w:b w:val="1"/>
                <w:sz w:val="52"/>
                <w:szCs w:val="52"/>
                <w:rtl w:val="0"/>
              </w:rPr>
              <w:t xml:space="preserve">PROJETO INTEGRADO 2024.1</w:t>
            </w:r>
            <w:r w:rsidDel="00000000" w:rsidR="00000000" w:rsidRPr="00000000">
              <w:rPr>
                <w:rtl w:val="0"/>
              </w:rPr>
            </w:r>
          </w:p>
        </w:tc>
      </w:tr>
    </w:tbl>
    <w:p w:rsidR="00000000" w:rsidDel="00000000" w:rsidP="00000000" w:rsidRDefault="00000000" w:rsidRPr="00000000" w14:paraId="00000038">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9">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A">
      <w:pPr>
        <w:spacing w:after="0" w:lineRule="auto"/>
        <w:jc w:val="center"/>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ISSN 1677-5651</w:t>
      </w:r>
    </w:p>
    <w:p w:rsidR="00000000" w:rsidDel="00000000" w:rsidP="00000000" w:rsidRDefault="00000000" w:rsidRPr="00000000" w14:paraId="0000003B">
      <w:pPr>
        <w:spacing w:after="0" w:lineRule="auto"/>
        <w:jc w:val="center"/>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3C">
      <w:pPr>
        <w:spacing w:after="0" w:lineRule="auto"/>
        <w:jc w:val="center"/>
        <w:rPr>
          <w:rFonts w:ascii="Arial" w:cs="Arial" w:eastAsia="Arial" w:hAnsi="Arial"/>
          <w:b w:val="1"/>
          <w:sz w:val="24"/>
          <w:szCs w:val="24"/>
        </w:rPr>
      </w:pPr>
      <w:r w:rsidDel="00000000" w:rsidR="00000000" w:rsidRPr="00000000">
        <w:rPr>
          <w:rFonts w:ascii="Arial" w:cs="Arial" w:eastAsia="Arial" w:hAnsi="Arial"/>
          <w:b w:val="1"/>
          <w:sz w:val="48"/>
          <w:szCs w:val="48"/>
          <w:rtl w:val="0"/>
        </w:rPr>
        <w:t xml:space="preserve">Iniciação no Direito Privado</w:t>
      </w:r>
      <w:r w:rsidDel="00000000" w:rsidR="00000000" w:rsidRPr="00000000">
        <w:rPr>
          <w:rtl w:val="0"/>
        </w:rPr>
      </w:r>
    </w:p>
    <w:p w:rsidR="00000000" w:rsidDel="00000000" w:rsidP="00000000" w:rsidRDefault="00000000" w:rsidRPr="00000000" w14:paraId="0000003D">
      <w:pPr>
        <w:spacing w:after="0" w:lineRule="auto"/>
        <w:jc w:val="center"/>
        <w:rPr>
          <w:rFonts w:ascii="Arial" w:cs="Arial" w:eastAsia="Arial" w:hAnsi="Arial"/>
          <w:b w:val="1"/>
        </w:rPr>
      </w:pPr>
      <w:r w:rsidDel="00000000" w:rsidR="00000000" w:rsidRPr="00000000">
        <w:rPr>
          <w:rtl w:val="0"/>
        </w:rPr>
      </w:r>
    </w:p>
    <w:tbl>
      <w:tblPr>
        <w:tblStyle w:val="Table3"/>
        <w:tblW w:w="9016.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E">
            <w:pPr>
              <w:spacing w:before="200" w:line="360" w:lineRule="auto"/>
              <w:ind w:right="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3F">
            <w:pPr>
              <w:spacing w:line="360" w:lineRule="auto"/>
              <w:ind w:right="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Os alunos, em trios, devem elaborar um Parecer Jurídico Interdisciplinar (cujos modelos, à sua escolha, estão à disposição no </w:t>
            </w:r>
            <w:r w:rsidDel="00000000" w:rsidR="00000000" w:rsidRPr="00000000">
              <w:rPr>
                <w:rFonts w:ascii="Arial" w:cs="Arial" w:eastAsia="Arial" w:hAnsi="Arial"/>
                <w:i w:val="1"/>
                <w:sz w:val="24"/>
                <w:szCs w:val="24"/>
                <w:rtl w:val="0"/>
              </w:rPr>
              <w:t xml:space="preserve">Google Classroom</w:t>
            </w:r>
            <w:r w:rsidDel="00000000" w:rsidR="00000000" w:rsidRPr="00000000">
              <w:rPr>
                <w:rFonts w:ascii="Arial" w:cs="Arial" w:eastAsia="Arial" w:hAnsi="Arial"/>
                <w:sz w:val="24"/>
                <w:szCs w:val="24"/>
                <w:rtl w:val="0"/>
              </w:rPr>
              <w:t xml:space="preserve">) que aborde todas as unidades de estudo do módulo a partir do caso hipotético apresentado abaixo.</w:t>
            </w:r>
          </w:p>
          <w:p w:rsidR="00000000" w:rsidDel="00000000" w:rsidP="00000000" w:rsidRDefault="00000000" w:rsidRPr="00000000" w14:paraId="00000040">
            <w:pPr>
              <w:spacing w:line="360" w:lineRule="auto"/>
              <w:ind w:right="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1">
            <w:pPr>
              <w:spacing w:line="360" w:lineRule="auto"/>
              <w:ind w:right="17"/>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OBJETIVOS</w:t>
            </w:r>
            <w:r w:rsidDel="00000000" w:rsidR="00000000" w:rsidRPr="00000000">
              <w:rPr>
                <w:rtl w:val="0"/>
              </w:rPr>
            </w:r>
          </w:p>
          <w:p w:rsidR="00000000" w:rsidDel="00000000" w:rsidP="00000000" w:rsidRDefault="00000000" w:rsidRPr="00000000" w14:paraId="00000042">
            <w:pPr>
              <w:spacing w:line="360" w:lineRule="auto"/>
              <w:ind w:right="1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Auxiliar o aluno a preparar-se para que ele seja:</w:t>
            </w:r>
          </w:p>
          <w:p w:rsidR="00000000" w:rsidDel="00000000" w:rsidP="00000000" w:rsidRDefault="00000000" w:rsidRPr="00000000" w14:paraId="00000043">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4">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5">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6">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7">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8">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9">
            <w:pPr>
              <w:numPr>
                <w:ilvl w:val="0"/>
                <w:numId w:val="1"/>
              </w:numPr>
              <w:spacing w:line="360" w:lineRule="auto"/>
              <w:ind w:left="720" w:right="17"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A">
            <w:pPr>
              <w:spacing w:line="360" w:lineRule="auto"/>
              <w:ind w:right="17"/>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4B">
            <w:pPr>
              <w:spacing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INSTRUÇÕES</w:t>
            </w:r>
            <w:r w:rsidDel="00000000" w:rsidR="00000000" w:rsidRPr="00000000">
              <w:rPr>
                <w:rtl w:val="0"/>
              </w:rPr>
            </w:r>
          </w:p>
          <w:p w:rsidR="00000000" w:rsidDel="00000000" w:rsidP="00000000" w:rsidRDefault="00000000" w:rsidRPr="00000000" w14:paraId="0000004C">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4D">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haverá orientação </w:t>
            </w:r>
            <w:r w:rsidDel="00000000" w:rsidR="00000000" w:rsidRPr="00000000">
              <w:rPr>
                <w:rFonts w:ascii="Arial" w:cs="Arial" w:eastAsia="Arial" w:hAnsi="Arial"/>
                <w:b w:val="1"/>
                <w:sz w:val="24"/>
                <w:szCs w:val="24"/>
                <w:u w:val="single"/>
                <w:rtl w:val="0"/>
              </w:rPr>
              <w:t xml:space="preserve">específica</w:t>
            </w:r>
            <w:r w:rsidDel="00000000" w:rsidR="00000000" w:rsidRPr="00000000">
              <w:rPr>
                <w:rFonts w:ascii="Arial" w:cs="Arial" w:eastAsia="Arial" w:hAnsi="Arial"/>
                <w:sz w:val="24"/>
                <w:szCs w:val="24"/>
                <w:rtl w:val="0"/>
              </w:rPr>
              <w:t xml:space="preserve"> dos docentes para a solução dos questionamentos formulados, todavia, eles </w:t>
            </w:r>
            <w:r w:rsidDel="00000000" w:rsidR="00000000" w:rsidRPr="00000000">
              <w:rPr>
                <w:rFonts w:ascii="Arial" w:cs="Arial" w:eastAsia="Arial" w:hAnsi="Arial"/>
                <w:b w:val="1"/>
                <w:sz w:val="24"/>
                <w:szCs w:val="24"/>
                <w:rtl w:val="0"/>
              </w:rPr>
              <w:t xml:space="preserve">deverão abordar os conteúdos, ainda que superficialmente, em suas aulas</w:t>
            </w:r>
            <w:r w:rsidDel="00000000" w:rsidR="00000000" w:rsidRPr="00000000">
              <w:rPr>
                <w:rFonts w:ascii="Arial" w:cs="Arial" w:eastAsia="Arial" w:hAnsi="Arial"/>
                <w:sz w:val="24"/>
                <w:szCs w:val="24"/>
                <w:rtl w:val="0"/>
              </w:rPr>
              <w:t xml:space="preserve">. Espera-se que os estudantes busquem as informações necessárias e complementares em todos os meios disponíveis (material de aula, biblioteca, </w:t>
            </w:r>
            <w:r w:rsidDel="00000000" w:rsidR="00000000" w:rsidRPr="00000000">
              <w:rPr>
                <w:rFonts w:ascii="Arial" w:cs="Arial" w:eastAsia="Arial" w:hAnsi="Arial"/>
                <w:i w:val="1"/>
                <w:sz w:val="24"/>
                <w:szCs w:val="24"/>
                <w:rtl w:val="0"/>
              </w:rPr>
              <w:t xml:space="preserve">sites </w:t>
            </w:r>
            <w:r w:rsidDel="00000000" w:rsidR="00000000" w:rsidRPr="00000000">
              <w:rPr>
                <w:rFonts w:ascii="Arial" w:cs="Arial" w:eastAsia="Arial" w:hAnsi="Arial"/>
                <w:sz w:val="24"/>
                <w:szCs w:val="24"/>
                <w:rtl w:val="0"/>
              </w:rPr>
              <w:t xml:space="preserve">jurídicos, entrevistas com profissionais da área, pesquisa de campo, etc), uma vez que o caso não é fácil e a solução não é óbvia.</w:t>
            </w:r>
          </w:p>
          <w:p w:rsidR="00000000" w:rsidDel="00000000" w:rsidP="00000000" w:rsidRDefault="00000000" w:rsidRPr="00000000" w14:paraId="0000004E">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Cada grupo deverá entregar um único Parecer Jurídico em formato digital (</w:t>
            </w:r>
            <w:r w:rsidDel="00000000" w:rsidR="00000000" w:rsidRPr="00000000">
              <w:rPr>
                <w:rFonts w:ascii="Arial" w:cs="Arial" w:eastAsia="Arial" w:hAnsi="Arial"/>
                <w:b w:val="1"/>
                <w:sz w:val="24"/>
                <w:szCs w:val="24"/>
                <w:rtl w:val="0"/>
              </w:rPr>
              <w:t xml:space="preserve">arquivo.doc</w:t>
            </w:r>
            <w:r w:rsidDel="00000000" w:rsidR="00000000" w:rsidRPr="00000000">
              <w:rPr>
                <w:rFonts w:ascii="Arial" w:cs="Arial" w:eastAsia="Arial" w:hAnsi="Arial"/>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4F">
            <w:pPr>
              <w:numPr>
                <w:ilvl w:val="0"/>
                <w:numId w:val="2"/>
              </w:numPr>
              <w:spacing w:line="360" w:lineRule="auto"/>
              <w:ind w:left="720" w:hanging="36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Prazo de entrega: 27/05/2024</w:t>
            </w:r>
          </w:p>
          <w:p w:rsidR="00000000" w:rsidDel="00000000" w:rsidP="00000000" w:rsidRDefault="00000000" w:rsidRPr="00000000" w14:paraId="00000050">
            <w:pPr>
              <w:numPr>
                <w:ilvl w:val="0"/>
                <w:numId w:val="2"/>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padrão de resposta esperado será divulgado no dia 28/05/2024</w:t>
            </w:r>
          </w:p>
          <w:p w:rsidR="00000000" w:rsidDel="00000000" w:rsidP="00000000" w:rsidRDefault="00000000" w:rsidRPr="00000000" w14:paraId="00000051">
            <w:pPr>
              <w:spacing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PONTUAÇÃO:</w:t>
            </w:r>
          </w:p>
          <w:p w:rsidR="00000000" w:rsidDel="00000000" w:rsidP="00000000" w:rsidRDefault="00000000" w:rsidRPr="00000000" w14:paraId="00000052">
            <w:pPr>
              <w:spacing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valor máximo a ser acrescido na nota P2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3">
            <w:pPr>
              <w:numPr>
                <w:ilvl w:val="0"/>
                <w:numId w:val="4"/>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0,0 (zero), caso não seja entregue o parecer no prazo </w:t>
            </w:r>
          </w:p>
          <w:p w:rsidR="00000000" w:rsidDel="00000000" w:rsidP="00000000" w:rsidRDefault="00000000" w:rsidRPr="00000000" w14:paraId="00000054">
            <w:pPr>
              <w:numPr>
                <w:ilvl w:val="0"/>
                <w:numId w:val="4"/>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0,5 (meio), caso o parecer seja considerado ruim </w:t>
            </w:r>
          </w:p>
          <w:p w:rsidR="00000000" w:rsidDel="00000000" w:rsidP="00000000" w:rsidRDefault="00000000" w:rsidRPr="00000000" w14:paraId="00000055">
            <w:pPr>
              <w:numPr>
                <w:ilvl w:val="0"/>
                <w:numId w:val="4"/>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1,0 (um) caso o parecer seja considerado regular</w:t>
            </w:r>
          </w:p>
          <w:p w:rsidR="00000000" w:rsidDel="00000000" w:rsidP="00000000" w:rsidRDefault="00000000" w:rsidRPr="00000000" w14:paraId="00000056">
            <w:pPr>
              <w:numPr>
                <w:ilvl w:val="0"/>
                <w:numId w:val="4"/>
              </w:numPr>
              <w:spacing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1,5 (um e meio) caso o parecer seja considerado bom</w:t>
            </w:r>
          </w:p>
          <w:p w:rsidR="00000000" w:rsidDel="00000000" w:rsidP="00000000" w:rsidRDefault="00000000" w:rsidRPr="00000000" w14:paraId="00000057">
            <w:pPr>
              <w:numPr>
                <w:ilvl w:val="0"/>
                <w:numId w:val="4"/>
              </w:numPr>
              <w:spacing w:after="200" w:line="360" w:lineRule="auto"/>
              <w:ind w:left="72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8">
      <w:pPr>
        <w:spacing w:after="0" w:line="240" w:lineRule="auto"/>
        <w:rPr>
          <w:rFonts w:ascii="Arial" w:cs="Arial" w:eastAsia="Arial" w:hAnsi="Arial"/>
          <w:b w:val="1"/>
          <w:sz w:val="32"/>
          <w:szCs w:val="32"/>
        </w:rPr>
      </w:pPr>
      <w:r w:rsidDel="00000000" w:rsidR="00000000" w:rsidRPr="00000000">
        <w:rPr>
          <w:rtl w:val="0"/>
        </w:rPr>
      </w:r>
    </w:p>
    <w:p w:rsidR="00000000" w:rsidDel="00000000" w:rsidP="00000000" w:rsidRDefault="00000000" w:rsidRPr="00000000" w14:paraId="00000059">
      <w:pPr>
        <w:spacing w:after="0" w:line="240" w:lineRule="auto"/>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CASO HIPOTÉTICO</w:t>
      </w:r>
    </w:p>
    <w:p w:rsidR="00000000" w:rsidDel="00000000" w:rsidP="00000000" w:rsidRDefault="00000000" w:rsidRPr="00000000" w14:paraId="0000005A">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5B">
      <w:pPr>
        <w:tabs>
          <w:tab w:val="center" w:leader="none" w:pos="4252"/>
          <w:tab w:val="right" w:leader="none" w:pos="8504"/>
        </w:tabs>
        <w:spacing w:after="0" w:line="240" w:lineRule="auto"/>
        <w:jc w:val="right"/>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C">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5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da maquete de mais um empreendimento milionário, Vanessa, pensava em alternativas para solucionar o problema. Era a primeira vez que, na posição de sócia-administradora da Habite Construção e Acabamento LTDA, vinha encontrando dificuldades para negociar unidades de um edifício de apartamentos que estava praticamente concluído.</w:t>
      </w:r>
    </w:p>
    <w:p w:rsidR="00000000" w:rsidDel="00000000" w:rsidP="00000000" w:rsidRDefault="00000000" w:rsidRPr="00000000" w14:paraId="0000005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empresa lançou o projeto para construção de um prédio residencial com 80 apartamentos na cidade de Sorocaba, sendo que praticamente metade das unidades foram vendidas “na planta”, antes mesmo da limpeza do terreno — assim como ocorrera em empreendimentos realizados nos anos anteriores, impulsionados pelo forte crescimento do mercado imobiliário nos tempos de pandemia. No entanto, as vendas caíram à medida que os andares da construção foram sendo erguidos, e a expectativa de lucro recorde da construtora tornou-se ameaça de um amargo prejuízo.</w:t>
      </w:r>
    </w:p>
    <w:p w:rsidR="00000000" w:rsidDel="00000000" w:rsidP="00000000" w:rsidRDefault="00000000" w:rsidRPr="00000000" w14:paraId="0000005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Renata, outra sócia da construtora, até questionou Vanessa sobre a publicidade que se mantinha estampada no </w:t>
      </w:r>
      <w:r w:rsidDel="00000000" w:rsidR="00000000" w:rsidRPr="00000000">
        <w:rPr>
          <w:rFonts w:ascii="Arial" w:cs="Arial" w:eastAsia="Arial" w:hAnsi="Arial"/>
          <w:i w:val="1"/>
          <w:sz w:val="24"/>
          <w:szCs w:val="24"/>
          <w:rtl w:val="0"/>
        </w:rPr>
        <w:t xml:space="preserve">outdoor</w:t>
      </w:r>
      <w:r w:rsidDel="00000000" w:rsidR="00000000" w:rsidRPr="00000000">
        <w:rPr>
          <w:rFonts w:ascii="Arial" w:cs="Arial" w:eastAsia="Arial" w:hAnsi="Arial"/>
          <w:sz w:val="24"/>
          <w:szCs w:val="24"/>
          <w:rtl w:val="0"/>
        </w:rPr>
        <w:t xml:space="preserve"> de uma importante avenida. Na condição de simples investidora da empresa, não tinha o hábito de tomar conhecimento sobre o desenvolvimento de cada projeto, mas sabia que as vendas já deveriam ter se encerrado, estando o edifício em fase final de acabamento.</w:t>
      </w:r>
    </w:p>
    <w:p w:rsidR="00000000" w:rsidDel="00000000" w:rsidP="00000000" w:rsidRDefault="00000000" w:rsidRPr="00000000" w14:paraId="0000006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Falei com a Vanessa hoje pela manhã para saber como está o projeto de Sorocaba. Ela disse que tudo seguia bem, sob controle, porém ainda estão vendendo… — disse Renata a Adriano, outro sócio investidor da Habite Construção e Acabamento LTDA.</w:t>
      </w:r>
    </w:p>
    <w:p w:rsidR="00000000" w:rsidDel="00000000" w:rsidP="00000000" w:rsidRDefault="00000000" w:rsidRPr="00000000" w14:paraId="0000006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verdade, nada estava sob controle, contudo. Vanessa tinha ciência da real, e desafiadora, situação. Com 20 unidades “encalhadas”, a construtora não conseguiria honrar compromissos assumidos junto a fornecedores, que tinham data para recebimento, estando os apartamentos vendidos ou não.</w:t>
      </w:r>
    </w:p>
    <w:p w:rsidR="00000000" w:rsidDel="00000000" w:rsidP="00000000" w:rsidRDefault="00000000" w:rsidRPr="00000000" w14:paraId="0000006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Observando a evidente angústia da chefe, Eduardo, funcionário do departamento de marketing, se colocou à disposição para auxiliar no que fosse preciso.</w:t>
      </w:r>
    </w:p>
    <w:p w:rsidR="00000000" w:rsidDel="00000000" w:rsidP="00000000" w:rsidRDefault="00000000" w:rsidRPr="00000000" w14:paraId="0000006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Vã, posso fazer alguma coisa pra te ajudar?</w:t>
      </w:r>
    </w:p>
    <w:p w:rsidR="00000000" w:rsidDel="00000000" w:rsidP="00000000" w:rsidRDefault="00000000" w:rsidRPr="00000000" w14:paraId="0000006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Oi, Du. Eu tô com esse problema do prédio de Sorocaba, que a gente não consegue concluir a venda.</w:t>
      </w:r>
    </w:p>
    <w:p w:rsidR="00000000" w:rsidDel="00000000" w:rsidP="00000000" w:rsidRDefault="00000000" w:rsidRPr="00000000" w14:paraId="0000006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Quer que eu faça mais alguma ação publicitária?</w:t>
      </w:r>
    </w:p>
    <w:p w:rsidR="00000000" w:rsidDel="00000000" w:rsidP="00000000" w:rsidRDefault="00000000" w:rsidRPr="00000000" w14:paraId="0000006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Não sei… A gente já fez de tudo nessas últimas semanas: </w:t>
      </w:r>
      <w:r w:rsidDel="00000000" w:rsidR="00000000" w:rsidRPr="00000000">
        <w:rPr>
          <w:rFonts w:ascii="Arial" w:cs="Arial" w:eastAsia="Arial" w:hAnsi="Arial"/>
          <w:i w:val="1"/>
          <w:sz w:val="24"/>
          <w:szCs w:val="24"/>
          <w:rtl w:val="0"/>
        </w:rPr>
        <w:t xml:space="preserve">outdoor</w:t>
      </w:r>
      <w:r w:rsidDel="00000000" w:rsidR="00000000" w:rsidRPr="00000000">
        <w:rPr>
          <w:rFonts w:ascii="Arial" w:cs="Arial" w:eastAsia="Arial" w:hAnsi="Arial"/>
          <w:sz w:val="24"/>
          <w:szCs w:val="24"/>
          <w:rtl w:val="0"/>
        </w:rPr>
        <w:t xml:space="preserve">, panfleto, TV, rádio, tráfego pago.</w:t>
      </w:r>
    </w:p>
    <w:p w:rsidR="00000000" w:rsidDel="00000000" w:rsidP="00000000" w:rsidRDefault="00000000" w:rsidRPr="00000000" w14:paraId="0000006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Posso te dar uma ideia, Vã?!</w:t>
      </w:r>
    </w:p>
    <w:p w:rsidR="00000000" w:rsidDel="00000000" w:rsidP="00000000" w:rsidRDefault="00000000" w:rsidRPr="00000000" w14:paraId="0000006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Claro.</w:t>
      </w:r>
    </w:p>
    <w:p w:rsidR="00000000" w:rsidDel="00000000" w:rsidP="00000000" w:rsidRDefault="00000000" w:rsidRPr="00000000" w14:paraId="0000006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Por que a gente não chama aquela menina blogueira da cidade que faz os vídeos engraçados?</w:t>
      </w:r>
    </w:p>
    <w:p w:rsidR="00000000" w:rsidDel="00000000" w:rsidP="00000000" w:rsidRDefault="00000000" w:rsidRPr="00000000" w14:paraId="0000006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Uma influenciadora?</w:t>
      </w:r>
    </w:p>
    <w:p w:rsidR="00000000" w:rsidDel="00000000" w:rsidP="00000000" w:rsidRDefault="00000000" w:rsidRPr="00000000" w14:paraId="0000006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Isso! Olha aqui o perfil dela.</w:t>
      </w:r>
    </w:p>
    <w:p w:rsidR="00000000" w:rsidDel="00000000" w:rsidP="00000000" w:rsidRDefault="00000000" w:rsidRPr="00000000" w14:paraId="0000006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Legal. Bem bonita, e fala bem.</w:t>
      </w:r>
    </w:p>
    <w:p w:rsidR="00000000" w:rsidDel="00000000" w:rsidP="00000000" w:rsidRDefault="00000000" w:rsidRPr="00000000" w14:paraId="0000006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Posso perguntar quanto ela cobraria pra fazer a parceria.</w:t>
      </w:r>
    </w:p>
    <w:p w:rsidR="00000000" w:rsidDel="00000000" w:rsidP="00000000" w:rsidRDefault="00000000" w:rsidRPr="00000000" w14:paraId="0000006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Mas, antes disso, a gente precisa definir exatamente o que vai pedir pra ela fazer. Vou trazer ela num canteiro de obras?!</w:t>
      </w:r>
    </w:p>
    <w:p w:rsidR="00000000" w:rsidDel="00000000" w:rsidP="00000000" w:rsidRDefault="00000000" w:rsidRPr="00000000" w14:paraId="0000006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Lógico que não. A gente pega uma unidade que já está finalizada, pede ajuda pra uns parceiros deixarem tudo montadinho, e ela mostra esse apartamento decorado.</w:t>
      </w:r>
    </w:p>
    <w:p w:rsidR="00000000" w:rsidDel="00000000" w:rsidP="00000000" w:rsidRDefault="00000000" w:rsidRPr="00000000" w14:paraId="0000007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É, acho que pode ser uma boa ideia sim. Principalmente se conseguirmos tudo emprestado, pra não ter esse custo. Depois da gravação, já devolvemos as coisas.</w:t>
      </w:r>
    </w:p>
    <w:p w:rsidR="00000000" w:rsidDel="00000000" w:rsidP="00000000" w:rsidRDefault="00000000" w:rsidRPr="00000000" w14:paraId="0000007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Pode deixar. Eu vou falar com a blogueira, e já vejo com o pessoal como faremos a montagem do apartamento.</w:t>
      </w:r>
    </w:p>
    <w:p w:rsidR="00000000" w:rsidDel="00000000" w:rsidP="00000000" w:rsidRDefault="00000000" w:rsidRPr="00000000" w14:paraId="0000007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Eduardo trabalhou com a costumeira eficiência, e, apenas três dias depois, a influenciadora foi ao edifício para fazer a gravação.</w:t>
      </w:r>
    </w:p>
    <w:p w:rsidR="00000000" w:rsidDel="00000000" w:rsidP="00000000" w:rsidRDefault="00000000" w:rsidRPr="00000000" w14:paraId="0000007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Olá, muito prazer. Eu sou a Vanessa, da Habite. Seja bem vinda.</w:t>
      </w:r>
    </w:p>
    <w:p w:rsidR="00000000" w:rsidDel="00000000" w:rsidP="00000000" w:rsidRDefault="00000000" w:rsidRPr="00000000" w14:paraId="0000007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Muito obrigada. Achei lindo esse prédio!</w:t>
      </w:r>
    </w:p>
    <w:p w:rsidR="00000000" w:rsidDel="00000000" w:rsidP="00000000" w:rsidRDefault="00000000" w:rsidRPr="00000000" w14:paraId="0000007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Que bom. Nós sempre tentamos entregar um resultado melhor em cada projeto da construtora.</w:t>
      </w:r>
    </w:p>
    <w:p w:rsidR="00000000" w:rsidDel="00000000" w:rsidP="00000000" w:rsidRDefault="00000000" w:rsidRPr="00000000" w14:paraId="0000007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Ótimo. Eu gosto de coisa boa, que fica mais fácil de fazer propaganda. Acho que vai ficar bem bonito nos vídeos.</w:t>
      </w:r>
    </w:p>
    <w:p w:rsidR="00000000" w:rsidDel="00000000" w:rsidP="00000000" w:rsidRDefault="00000000" w:rsidRPr="00000000" w14:paraId="0000007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Confiamos em você!</w:t>
      </w:r>
    </w:p>
    <w:p w:rsidR="00000000" w:rsidDel="00000000" w:rsidP="00000000" w:rsidRDefault="00000000" w:rsidRPr="00000000" w14:paraId="0000007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Espero atender a expectativa. Me fala certinho o que vocês gostariam de ver. Tem alguma informação importante, ou eu posso só sair gravando?</w:t>
      </w:r>
    </w:p>
    <w:p w:rsidR="00000000" w:rsidDel="00000000" w:rsidP="00000000" w:rsidRDefault="00000000" w:rsidRPr="00000000" w14:paraId="0000007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Nós vamos te dar liberdade pra fazer da forma que achar melhor. Só te peço pra falar que ainda restam algumas unidades a serem vendidas, e que o comprador vai receber o apartamento com acabamento padrão, sem os móveis, decorações etc.</w:t>
      </w:r>
    </w:p>
    <w:p w:rsidR="00000000" w:rsidDel="00000000" w:rsidP="00000000" w:rsidRDefault="00000000" w:rsidRPr="00000000" w14:paraId="0000007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Perfeito! Pode deixar. Como é preciso editar o material antes de postar, podemos tirar ou incluir alguma informação também. O mais importante é que vocês gostem do vídeo.</w:t>
      </w:r>
    </w:p>
    <w:p w:rsidR="00000000" w:rsidDel="00000000" w:rsidP="00000000" w:rsidRDefault="00000000" w:rsidRPr="00000000" w14:paraId="0000007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blogueira ajustou a iluminação de cada um dos ambientes, e se preparou para começar a gravação, feita por ela própria com o aparelho celular nas mãos. Vanessa e Eduardo acompanharam cada movimento.</w:t>
      </w:r>
    </w:p>
    <w:p w:rsidR="00000000" w:rsidDel="00000000" w:rsidP="00000000" w:rsidRDefault="00000000" w:rsidRPr="00000000" w14:paraId="0000007C">
      <w:pPr>
        <w:spacing w:after="200" w:line="360" w:lineRule="auto"/>
        <w:ind w:left="2267" w:firstLine="0"/>
        <w:jc w:val="both"/>
        <w:rPr>
          <w:rFonts w:ascii="Arial" w:cs="Arial" w:eastAsia="Arial" w:hAnsi="Arial"/>
          <w:i w:val="1"/>
          <w:sz w:val="24"/>
          <w:szCs w:val="24"/>
        </w:rPr>
      </w:pPr>
      <w:r w:rsidDel="00000000" w:rsidR="00000000" w:rsidRPr="00000000">
        <w:rPr>
          <w:rFonts w:ascii="Arial" w:cs="Arial" w:eastAsia="Arial" w:hAnsi="Arial"/>
          <w:i w:val="1"/>
          <w:sz w:val="24"/>
          <w:szCs w:val="24"/>
          <w:rtl w:val="0"/>
        </w:rPr>
        <w:t xml:space="preserve">Oi, minha gente linda! Tudo bem com vocês? Mari na área e, galera… vocês precisam ver onde eu estou. Fiquei impressionada e vou mostrar tudo, TUDO, nesse vídeo sobre esse lugar incrível. Gente, primeiramente, olha essa vista, que coisa deslumbrante. Dá pra ver Sorocaba inteirinha daqui. Imagina uma vista dessas a noite, que lindo deve ficar… Antes que me perguntem aí nos comentários, esse é o Village Alpha, que a Habite Construção e Acabamento está terminando. Quer dizer, eles dizem que estão terminando, mas eu já dei umas voltas por aqui, e achei que está tudo pronto e perfeito. Eu, pelo menos, já me mudaria pra cá tranquilamente. É um espaço que vocês não tem noção. Olha o tamanho dessa sala. Mesmo com o sofá grande, bem espaçoso, dá pra andar, dá pra fazer exercício, dá pra fazer o que vocês quiserem aqui. A cozinha… não, essa eu vou deixar por último. Vamos ver primeiro os quartos. Olha que lindo isso, pessoal. Muito espaço, iluminação boa, dá até pra fazer home office aqui. O banheiro também é excelente, não é daqueles apertadinhos que você precisa ficar se torcendo pra entrar no box nem nada. Minha gente, esse apartamento é o que há! Não sei nem como ainda tem algumas unidades sendo vendidas. Vocês acreditam nisso?! Pra quem tá procurando um lugar top pra morar, eu, pelo menos, não conheço nenhum melhor aqui em Sorocaba. Aliás, não conheço nenhum outro com essa qualidade nas cidades aqui da região. Ele tem um padrão muito diferenciado mesmo. Esse apartamento que eu estou mostrando pra vocês já tá mobiliado, decoradinho e tals, e quem comprar não vai receber assim, logicamente. O apartamento vai pronto, com acabamento básico, piso, banheiro todo revestido, parte hidráulica funcionando, mas sem os móveis. O que também não é uma coisa ruim, porque aí quem vier faz do seu jeito, né galera. Tem gente que gosta de um estilo mais moderno, outro de um estilo retrô, enfim, você que vai comprar recebe prontinho pra deixar exatamente como gosta. Fácil, fácil. Ah, mas faltou mostrar pra vocês a cozinha. Gente, como eu acabei de dizer, o apartamento vai sem os móveis, mas olha isso. Eu tenho que mostrar pra vocês como essa cozinha, montadinha desse jeito, ficou incrível! Eu amei demais mesmo. Dá vontade de fazer tudo nessa cozinha. Acho que eu ia trazer até meu colchão aqui, só pra dormir nessa cozinha. Fala sério, galera! Esses armários, torre pra microondas e forno elétrico, o cooktop, geladeira de duas portas com freezer invertido, as portas dos armários que não tem maçaneta, é só dar um click que abre e outro click que fecha. Cada um sabe o que faz, mas, na minha humilde opinião, isso tem que estar no apartamento de vocês. Só acho. É top demais. Aliás, galera, vou deixar uma caixinha aqui embaixo com uma enquete, respondam aí se quem receber esse apartamento que eu estou agora, que é o número 75, deve ficar com essa cozinha do jeitinho que está ou não. Respondam aí, que eu quero saber. Pessoal, o vídeo de hoje era esse, espero que tenham gostado, e vejo vocês na próxima. Tchau, tchau, tchau!</w:t>
      </w:r>
    </w:p>
    <w:p w:rsidR="00000000" w:rsidDel="00000000" w:rsidP="00000000" w:rsidRDefault="00000000" w:rsidRPr="00000000" w14:paraId="0000007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Ufa, acho que falei demais… — disse a blogueira pra Vanessa, que continuava no local.</w:t>
      </w:r>
    </w:p>
    <w:p w:rsidR="00000000" w:rsidDel="00000000" w:rsidP="00000000" w:rsidRDefault="00000000" w:rsidRPr="00000000" w14:paraId="0000007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Falou mesmo. Essa parte final a gente não tinha combinado.</w:t>
      </w:r>
    </w:p>
    <w:p w:rsidR="00000000" w:rsidDel="00000000" w:rsidP="00000000" w:rsidRDefault="00000000" w:rsidRPr="00000000" w14:paraId="0000007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Da cozinha?</w:t>
      </w:r>
    </w:p>
    <w:p w:rsidR="00000000" w:rsidDel="00000000" w:rsidP="00000000" w:rsidRDefault="00000000" w:rsidRPr="00000000" w14:paraId="0000008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Sim. Esses móveis todos são emprestados, eu não consigo deixar eles aqui, simplesmente.</w:t>
      </w:r>
    </w:p>
    <w:p w:rsidR="00000000" w:rsidDel="00000000" w:rsidP="00000000" w:rsidRDefault="00000000" w:rsidRPr="00000000" w14:paraId="00000081">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Entendo… Mas, como eu te falei antes, ainda vou editar todo o material, então posso tirar essa informação. Se preferir, eu até gravo novamente só esse trecho da cozinha.</w:t>
      </w:r>
    </w:p>
    <w:p w:rsidR="00000000" w:rsidDel="00000000" w:rsidP="00000000" w:rsidRDefault="00000000" w:rsidRPr="00000000" w14:paraId="00000082">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Ou, então, eu falo com o pessoal que ajudou na montagem, pra saber se eles conseguem fazer algo interessante pra gente em relação a esses itens — disse Eduardo, entrando na conversa.</w:t>
      </w:r>
    </w:p>
    <w:p w:rsidR="00000000" w:rsidDel="00000000" w:rsidP="00000000" w:rsidRDefault="00000000" w:rsidRPr="00000000" w14:paraId="00000083">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Sinceramente, eu sempre coloco algumas interações nas minhas postagens, porque o algoritmo entende isso como engajamento do público, e entregue a postagem pra bem mais pessoas — complementou a blogueira.</w:t>
      </w:r>
    </w:p>
    <w:p w:rsidR="00000000" w:rsidDel="00000000" w:rsidP="00000000" w:rsidRDefault="00000000" w:rsidRPr="00000000" w14:paraId="0000008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Tudo bem. Talvez esse seja um custo a mais, porém que valerá a pena se as unidades estiverem vendidas logo — concluiu Vanessa, aprovando a publicação da enquete.</w:t>
      </w:r>
    </w:p>
    <w:p w:rsidR="00000000" w:rsidDel="00000000" w:rsidP="00000000" w:rsidRDefault="00000000" w:rsidRPr="00000000" w14:paraId="00000085">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Mas a sócia-administradora sabia que teria de prestar contas a respeito da ousada campanha, então instruiu seu time de vendas a negociar as unidades da mesma forma de sempre:</w:t>
      </w:r>
    </w:p>
    <w:p w:rsidR="00000000" w:rsidDel="00000000" w:rsidP="00000000" w:rsidRDefault="00000000" w:rsidRPr="00000000" w14:paraId="00000086">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Se falarem algo de postagem, se façam desentendidos.</w:t>
      </w:r>
    </w:p>
    <w:p w:rsidR="00000000" w:rsidDel="00000000" w:rsidP="00000000" w:rsidRDefault="00000000" w:rsidRPr="00000000" w14:paraId="00000087">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Naquela noite, minutos após o vídeo ser publicado, Valentina, uma das jovens seguidoras da influenciadora, gostou muito do apartamento, e mostrou o vídeo para sua avó, Alessandra, de 56 anos. A mulher logo concluiu que aquele imóvel bom, tanto pra ela como para seu marido, Abílio, de 62 anos. Por isso, pediu à neta que registrasse, com prints e gravações de tela, o vídeo da blogueira e o resultado positivo da enquete.</w:t>
      </w:r>
    </w:p>
    <w:p w:rsidR="00000000" w:rsidDel="00000000" w:rsidP="00000000" w:rsidRDefault="00000000" w:rsidRPr="00000000" w14:paraId="00000088">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manhã seguinte, o casal foi até a sede da construtora e, efetuaram a compra da unidade 75, comprometendo-se a pagar o imóvel em 48 parcelas diretamente à empresa.</w:t>
      </w:r>
    </w:p>
    <w:p w:rsidR="00000000" w:rsidDel="00000000" w:rsidP="00000000" w:rsidRDefault="00000000" w:rsidRPr="00000000" w14:paraId="00000089">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Duas semanas depois, quando o apartamento foi finalmente entregue, Valentina acompanhou os avós na primeira visita, porém eles deram falta nos móveis da cozinha. Instigado por Alessandra, Abílio questionou ao funcionário da construtora que estava no local, recebendo a informação de que os móveis só estavam lá para fins de demonstração, e que as partes negociaram apenas um apartamento com acabamento padrão, conforme o contrato por eles assinado. </w:t>
      </w:r>
    </w:p>
    <w:p w:rsidR="00000000" w:rsidDel="00000000" w:rsidP="00000000" w:rsidRDefault="00000000" w:rsidRPr="00000000" w14:paraId="0000008A">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Abílio estava indignado, se sentindo enganado pela empresa, razão pela qual, decidiu suspender os pagamentos, com o objetivo de forçar a construtora a entregar os móveis planejados da cozinha.</w:t>
      </w:r>
    </w:p>
    <w:p w:rsidR="00000000" w:rsidDel="00000000" w:rsidP="00000000" w:rsidRDefault="00000000" w:rsidRPr="00000000" w14:paraId="0000008B">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se não bastasse, Alessandra também comentou sobre o ocorrido no grupo de whatsapp do condomínio, causando um alvoroço, uma vez que os adquirentes das outras 79 unidades passaram a reivindicar o mesmo direito, alegando que a empresa deveria dar o mesmo tratamento a todos os seus clientes.</w:t>
      </w:r>
    </w:p>
    <w:p w:rsidR="00000000" w:rsidDel="00000000" w:rsidP="00000000" w:rsidRDefault="00000000" w:rsidRPr="00000000" w14:paraId="0000008C">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Quando soube do tumulto, Vanessa agiu rápido, e logo ajuizou uma ação em face de Alessandra e Abílio para a cobrança dos valores inadimplidos — o que, esperava, também serviria de exemplo para os adquirentes das demais unidades.</w:t>
      </w:r>
    </w:p>
    <w:p w:rsidR="00000000" w:rsidDel="00000000" w:rsidP="00000000" w:rsidRDefault="00000000" w:rsidRPr="00000000" w14:paraId="0000008D">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casal não se intimidou, e, além de contestar o pedido da construtora alegando direito de retenção, apresentou uma reconvenção exigindo a entrega dos móveis.</w:t>
      </w:r>
    </w:p>
    <w:p w:rsidR="00000000" w:rsidDel="00000000" w:rsidP="00000000" w:rsidRDefault="00000000" w:rsidRPr="00000000" w14:paraId="0000008E">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Renata acompanhou, em silêncio, a discussão no grupo do condomínio a respeito dos móveis planejados. Em contato com funcionários da empresa, tomou conhecimento de que os móveis exibidos pela influenciadora eram avaliados em cerca de R$ 80.000,00, concluindo que, se a construtora fosse obrigada a entregar móveis para todos os adquirentes, a empresa teria um prejuízo de aproximadamente                R$ 6.400.000,00. </w:t>
      </w:r>
    </w:p>
    <w:p w:rsidR="00000000" w:rsidDel="00000000" w:rsidP="00000000" w:rsidRDefault="00000000" w:rsidRPr="00000000" w14:paraId="0000008F">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Preocupada, Renata confrontou a sócia-administradora, dizendo que, no contrato social da empresa só havia previsão expressa de que o administrador da sociedade teria poderes para realizar a venda das unidades imobiliárias com acabamento base, não fazendo qualquer referência à entrega de unidades modificadas e/ou mobiliadas. Vanessa retrucou, e disse que a postura da investidora era muito cômoda para fazer uma intervenção com tom acusatório, afirmando, por fim, que ela mesma daria conta de solucionar aquele problema.</w:t>
      </w:r>
    </w:p>
    <w:p w:rsidR="00000000" w:rsidDel="00000000" w:rsidP="00000000" w:rsidRDefault="00000000" w:rsidRPr="00000000" w14:paraId="00000090">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Mas Renata não ficou satisfeita com aquela resposta, e, então, decide procurar um escritório de advocacia para formular os seguintes questionamentos:</w:t>
      </w:r>
    </w:p>
    <w:p w:rsidR="00000000" w:rsidDel="00000000" w:rsidP="00000000" w:rsidRDefault="00000000" w:rsidRPr="00000000" w14:paraId="00000091">
      <w:pPr>
        <w:numPr>
          <w:ilvl w:val="0"/>
          <w:numId w:val="3"/>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ação movida pela construtora contra Alessandra e Abílio, a celebração de um acordo extrajudicial para pagamento dos valores em aberto, com consequente desistência da ação judicial de cobrança, também impede o prosseguimento do pedido feito na reconvenção? Em caso de prosseguimento, o processo terá tramitação prioritária, considerando que Alessandra ainda não é pessoa idosa?</w:t>
      </w:r>
    </w:p>
    <w:p w:rsidR="00000000" w:rsidDel="00000000" w:rsidP="00000000" w:rsidRDefault="00000000" w:rsidRPr="00000000" w14:paraId="00000092">
      <w:pPr>
        <w:numPr>
          <w:ilvl w:val="0"/>
          <w:numId w:val="3"/>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Alessandra e Abílio, adquirentes da unidade nº 75, têm direito ao recebimento dos móveis planejados na cozinha? Em caso positivo, se esse direito também se estende aos compradores das demais unidades?</w:t>
      </w:r>
    </w:p>
    <w:p w:rsidR="00000000" w:rsidDel="00000000" w:rsidP="00000000" w:rsidRDefault="00000000" w:rsidRPr="00000000" w14:paraId="00000093">
      <w:pPr>
        <w:numPr>
          <w:ilvl w:val="0"/>
          <w:numId w:val="3"/>
        </w:numPr>
        <w:spacing w:after="200" w:line="360" w:lineRule="auto"/>
        <w:ind w:left="1440" w:hanging="36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do possível prejuízo a ser suportado pela construtora ao entregar apartamento(s) mobiliado(s), é possível pleitear uma indenização em face de Vanessa, a sócia-administradora da empresa?</w:t>
      </w:r>
    </w:p>
    <w:p w:rsidR="00000000" w:rsidDel="00000000" w:rsidP="00000000" w:rsidRDefault="00000000" w:rsidRPr="00000000" w14:paraId="00000094">
      <w:pPr>
        <w:spacing w:after="200" w:line="360" w:lineRule="auto"/>
        <w:ind w:firstLine="85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condição de advogados de Renata, formulem um parecer jurídico que responda aos questionamentos apresentados de maneira fundamentada.</w:t>
      </w:r>
    </w:p>
    <w:p w:rsidR="00000000" w:rsidDel="00000000" w:rsidP="00000000" w:rsidRDefault="00000000" w:rsidRPr="00000000" w14:paraId="00000095">
      <w:pPr>
        <w:spacing w:after="200" w:line="360" w:lineRule="auto"/>
        <w:ind w:firstLine="850"/>
        <w:jc w:val="both"/>
        <w:rPr>
          <w:rFonts w:ascii="Arial" w:cs="Arial" w:eastAsia="Arial" w:hAnsi="Arial"/>
          <w:sz w:val="24"/>
          <w:szCs w:val="24"/>
        </w:rPr>
        <w:sectPr>
          <w:headerReference r:id="rId10" w:type="default"/>
          <w:footerReference r:id="rId11" w:type="default"/>
          <w:footerReference r:id="rId12" w:type="first"/>
          <w:pgSz w:h="16838" w:w="11906" w:orient="portrait"/>
          <w:pgMar w:bottom="283" w:top="1133" w:left="1440" w:right="1440" w:header="426" w:footer="306"/>
          <w:pgNumType w:start="1"/>
          <w:titlePg w:val="1"/>
        </w:sectPr>
      </w:pPr>
      <w:r w:rsidDel="00000000" w:rsidR="00000000" w:rsidRPr="00000000">
        <w:br w:type="page"/>
      </w:r>
      <w:r w:rsidDel="00000000" w:rsidR="00000000" w:rsidRPr="00000000">
        <w:rPr>
          <w:rtl w:val="0"/>
        </w:rPr>
      </w:r>
    </w:p>
    <w:p w:rsidR="00000000" w:rsidDel="00000000" w:rsidP="00000000" w:rsidRDefault="00000000" w:rsidRPr="00000000" w14:paraId="00000096">
      <w:pPr>
        <w:spacing w:after="0" w:line="240" w:lineRule="auto"/>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PARECER</w:t>
      </w:r>
    </w:p>
    <w:p w:rsidR="00000000" w:rsidDel="00000000" w:rsidP="00000000" w:rsidRDefault="00000000" w:rsidRPr="00000000" w14:paraId="00000097">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98">
      <w:pPr>
        <w:spacing w:after="200" w:line="360" w:lineRule="auto"/>
        <w:ind w:firstLine="85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9">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PARECER JURÍDICO</w:t>
      </w:r>
    </w:p>
    <w:p w:rsidR="00000000" w:rsidDel="00000000" w:rsidP="00000000" w:rsidRDefault="00000000" w:rsidRPr="00000000" w14:paraId="0000009A">
      <w:pPr>
        <w:spacing w:after="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9B">
      <w:pPr>
        <w:spacing w:after="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Assunto: </w:t>
      </w:r>
      <w:r w:rsidDel="00000000" w:rsidR="00000000" w:rsidRPr="00000000">
        <w:rPr>
          <w:rFonts w:ascii="Arial" w:cs="Arial" w:eastAsia="Arial" w:hAnsi="Arial"/>
          <w:sz w:val="24"/>
          <w:szCs w:val="24"/>
          <w:rtl w:val="0"/>
        </w:rPr>
        <w:t xml:space="preserve">Reconvenção; Desistência da ação principal e prosseguimento da reconvenção; Tramitação prioritária; Pessoa idosa; Obrigação de dar; Responsabilidades do preposto; Ação de regresso.</w:t>
      </w:r>
    </w:p>
    <w:p w:rsidR="00000000" w:rsidDel="00000000" w:rsidP="00000000" w:rsidRDefault="00000000" w:rsidRPr="00000000" w14:paraId="0000009C">
      <w:pPr>
        <w:spacing w:after="200" w:line="360"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Consulente</w:t>
      </w:r>
      <w:r w:rsidDel="00000000" w:rsidR="00000000" w:rsidRPr="00000000">
        <w:rPr>
          <w:rFonts w:ascii="Arial" w:cs="Arial" w:eastAsia="Arial" w:hAnsi="Arial"/>
          <w:sz w:val="24"/>
          <w:szCs w:val="24"/>
          <w:rtl w:val="0"/>
        </w:rPr>
        <w:t xml:space="preserve">: Renata</w:t>
      </w:r>
    </w:p>
    <w:p w:rsidR="00000000" w:rsidDel="00000000" w:rsidP="00000000" w:rsidRDefault="00000000" w:rsidRPr="00000000" w14:paraId="0000009D">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9E">
      <w:pPr>
        <w:spacing w:after="200" w:line="360" w:lineRule="auto"/>
        <w:ind w:left="2268"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EMENTA: PROCESSO CIVIL. RECONVENÇÃO. ACORDO EXTRAJUDICIAL. DIREITO CIVIL. OBRIGAÇÃO DE FAZER. CÓDIGO DE DEFESA DO CONSUMIDOR. DIREITO EMPRESARIAL. PREPOSTO. DEVERES DO PREPOSTO. RESPONSABILIDADES DO PREPOSTO. RESPONSABILIDADES DA EMPRESA AO CONTRATAR PUBLICIDADE. CONAR. </w:t>
      </w:r>
    </w:p>
    <w:p w:rsidR="00000000" w:rsidDel="00000000" w:rsidP="00000000" w:rsidRDefault="00000000" w:rsidRPr="00000000" w14:paraId="0000009F">
      <w:pPr>
        <w:spacing w:after="200" w:line="360" w:lineRule="auto"/>
        <w:ind w:left="2268" w:firstLine="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0">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Trata-se de consulta formulada por Renata, sócia investidora da empresa Habite Construção e Acabamento LTDA, após sua sócia administradora Vanessa contratar “digital influencer” para alavancar vendas de unidades residenciais no empreendimento Village Alpha, na cidade de Sorocaba.</w:t>
      </w:r>
    </w:p>
    <w:p w:rsidR="00000000" w:rsidDel="00000000" w:rsidP="00000000" w:rsidRDefault="00000000" w:rsidRPr="00000000" w14:paraId="000000A1">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A “influencer” Mari fez uma visita à uma unidade que foi mobiliada e decorada com os empréstimos de móveis, utensílios e utilidades domésticas, fogão, geladeira, micro-ondas, forno elétrico e tudo que fosse necessário para a utilização do imóvel residencial, por lojas parceiras da Habite, por prazo determinado e apenas para a finalidade publicitária. </w:t>
      </w:r>
    </w:p>
    <w:p w:rsidR="00000000" w:rsidDel="00000000" w:rsidP="00000000" w:rsidRDefault="00000000" w:rsidRPr="00000000" w14:paraId="000000A2">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Mari anunciou a disponibilidade das unidades, enfatizou a localização, a disposição, o tamanho dos cômodos e o quanto o ambiente totalmente decorado ficou bonito e aconchegante. Durante seu vídeo, a “influencer” deixou claro que quem adquirisse um dos imóveis disponíveis não o levaria pronto. A unidade seria entregue com acabamento básico, piso, banheiro revestido, parte hidráulica funcionando, porém sem móveis. Ao final do vídeo destacou a cozinha, com eletrodomésticos modernos e de qualidade e sugeriu uma enquete, que é muito comum no mundo dos influenciadores, para que haja interação com o </w:t>
      </w:r>
      <w:sdt>
        <w:sdtPr>
          <w:tag w:val="goog_rdk_0"/>
        </w:sdtPr>
        <w:sdtContent>
          <w:commentRangeStart w:id="0"/>
        </w:sdtContent>
      </w:sdt>
      <w:r w:rsidDel="00000000" w:rsidR="00000000" w:rsidRPr="00000000">
        <w:rPr>
          <w:rFonts w:ascii="Arial" w:cs="Arial" w:eastAsia="Arial" w:hAnsi="Arial"/>
          <w:sz w:val="24"/>
          <w:szCs w:val="24"/>
          <w:rtl w:val="0"/>
        </w:rPr>
        <w:t xml:space="preserve">púbico</w:t>
      </w:r>
      <w:commentRangeEnd w:id="0"/>
      <w:r w:rsidDel="00000000" w:rsidR="00000000" w:rsidRPr="00000000">
        <w:commentReference w:id="0"/>
      </w:r>
      <w:r w:rsidDel="00000000" w:rsidR="00000000" w:rsidRPr="00000000">
        <w:rPr>
          <w:rFonts w:ascii="Arial" w:cs="Arial" w:eastAsia="Arial" w:hAnsi="Arial"/>
          <w:sz w:val="24"/>
          <w:szCs w:val="24"/>
          <w:rtl w:val="0"/>
        </w:rPr>
        <w:t xml:space="preserve">, pedindo para que votassem se a unidade apresentada por ela, no caso a de número 75, deveria ser entregue com a cozinha completa, como estava no vídeo. </w:t>
      </w:r>
    </w:p>
    <w:p w:rsidR="00000000" w:rsidDel="00000000" w:rsidP="00000000" w:rsidRDefault="00000000" w:rsidRPr="00000000" w14:paraId="000000A3">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Ocorre que o casal Alessandra e Abílio se interessaram pelo imóvel 75 e efetuaram sua compra. No ato da entrega do apartamento, Abilio questionou ao funcionário da construtora sobre os móveis da cozinha que não se encontravam instalados, conforme vídeo publicitário, e obtiveram a resposta de que nenhuma unidade vendida contemplava os móveis, e que o anúncio publicitário tinha apenas a finalidade de demonstrar o potencial do imóvel, conforme estava disposto nas cláusulas do contrato assinado pelas partes, que descrevia como seria o acabamento do bem. </w:t>
      </w:r>
    </w:p>
    <w:p w:rsidR="00000000" w:rsidDel="00000000" w:rsidP="00000000" w:rsidRDefault="00000000" w:rsidRPr="00000000" w14:paraId="000000A4">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Insatisfeitos e sentindo-se enganados, o casal decidiu suspender os pagamentos restantes da propriedade, com o objetivo de impor à construtora a instalação dos </w:t>
      </w:r>
      <w:sdt>
        <w:sdtPr>
          <w:tag w:val="goog_rdk_1"/>
        </w:sdtPr>
        <w:sdtContent>
          <w:commentRangeStart w:id="1"/>
        </w:sdtContent>
      </w:sdt>
      <w:r w:rsidDel="00000000" w:rsidR="00000000" w:rsidRPr="00000000">
        <w:rPr>
          <w:rFonts w:ascii="Arial" w:cs="Arial" w:eastAsia="Arial" w:hAnsi="Arial"/>
          <w:sz w:val="24"/>
          <w:szCs w:val="24"/>
          <w:rtl w:val="0"/>
        </w:rPr>
        <w:t xml:space="preserve">moveis</w:t>
      </w:r>
      <w:commentRangeEnd w:id="1"/>
      <w:r w:rsidDel="00000000" w:rsidR="00000000" w:rsidRPr="00000000">
        <w:commentReference w:id="1"/>
      </w:r>
      <w:r w:rsidDel="00000000" w:rsidR="00000000" w:rsidRPr="00000000">
        <w:rPr>
          <w:rFonts w:ascii="Arial" w:cs="Arial" w:eastAsia="Arial" w:hAnsi="Arial"/>
          <w:sz w:val="24"/>
          <w:szCs w:val="24"/>
          <w:rtl w:val="0"/>
        </w:rPr>
        <w:t xml:space="preserve"> e eletrodomésticos que viram através da página da influenciadora Mari. </w:t>
      </w:r>
    </w:p>
    <w:p w:rsidR="00000000" w:rsidDel="00000000" w:rsidP="00000000" w:rsidRDefault="00000000" w:rsidRPr="00000000" w14:paraId="000000A5">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 o inadimplemento, a construtora Habite, através de sua sócia administradora Vanessa, ingressou com uma ação de cobrança em face de Alessandra e Abílio, que acabaram por contestar o pedido e apresentaram, através de uma reconvenção, um pedido de obrigação de dar, exigindo a entrega dos móveis. </w:t>
      </w:r>
    </w:p>
    <w:p w:rsidR="00000000" w:rsidDel="00000000" w:rsidP="00000000" w:rsidRDefault="00000000" w:rsidRPr="00000000" w14:paraId="000000A6">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exposto gerou para a consulente três questionamentos: o primeiro sobre o prosseguimento da reconvenção caso as partes formalizassem um acordo extrajudicial e houvesse desistência da ação de cobrança, o segundo sobre o direito do casal de receber os móveis em questão e se em caso positivo se todas as outras unidades poderiam requerer o mesmo direito, e em terceiro, caso sofra algum prejuízo, se a construtora poderá pleitear esse valor em face de Vanessa, a sócia administradora que contratou a influenciadora. </w:t>
      </w:r>
    </w:p>
    <w:p w:rsidR="00000000" w:rsidDel="00000000" w:rsidP="00000000" w:rsidRDefault="00000000" w:rsidRPr="00000000" w14:paraId="000000A7">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houve fornecimento de quaisquer documentos, apenas a narrativa dos fatos pessoalmente pela consulente.</w:t>
      </w:r>
    </w:p>
    <w:p w:rsidR="00000000" w:rsidDel="00000000" w:rsidP="00000000" w:rsidRDefault="00000000" w:rsidRPr="00000000" w14:paraId="000000A8">
      <w:pPr>
        <w:spacing w:after="200" w:line="360" w:lineRule="auto"/>
        <w:ind w:firstLine="566.9291338582675"/>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relatório. </w:t>
      </w:r>
    </w:p>
    <w:p w:rsidR="00000000" w:rsidDel="00000000" w:rsidP="00000000" w:rsidRDefault="00000000" w:rsidRPr="00000000" w14:paraId="000000A9">
      <w:pPr>
        <w:spacing w:after="20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360" w:lineRule="auto"/>
        <w:ind w:left="0" w:right="0" w:firstLine="0"/>
        <w:jc w:val="both"/>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1.1 RECONVENÇÃO E SUA </w:t>
      </w:r>
      <w:sdt>
        <w:sdtPr>
          <w:tag w:val="goog_rdk_2"/>
        </w:sdtPr>
        <w:sdtContent>
          <w:commentRangeStart w:id="2"/>
        </w:sdtContent>
      </w:sdt>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AUTÔNIMIA</w:t>
      </w:r>
      <w:commentRangeEnd w:id="2"/>
      <w:r w:rsidDel="00000000" w:rsidR="00000000" w:rsidRPr="00000000">
        <w:commentReference w:id="2"/>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 DA AÇÃO PRINCIPAL - PROCESSO CIVIL </w:t>
      </w:r>
    </w:p>
    <w:p w:rsidR="00000000" w:rsidDel="00000000" w:rsidP="00000000" w:rsidRDefault="00000000" w:rsidRPr="00000000" w14:paraId="000000AB">
      <w:pPr>
        <w:spacing w:after="200" w:line="360" w:lineRule="auto"/>
        <w:ind w:firstLine="567"/>
        <w:jc w:val="both"/>
        <w:rPr>
          <w:rFonts w:ascii="Arial" w:cs="Arial" w:eastAsia="Arial" w:hAnsi="Arial"/>
          <w:b w:val="1"/>
          <w:sz w:val="24"/>
          <w:szCs w:val="24"/>
        </w:rPr>
      </w:pPr>
      <w:r w:rsidDel="00000000" w:rsidR="00000000" w:rsidRPr="00000000">
        <w:rPr>
          <w:rFonts w:ascii="Arial" w:cs="Arial" w:eastAsia="Arial" w:hAnsi="Arial"/>
          <w:sz w:val="24"/>
          <w:szCs w:val="24"/>
          <w:rtl w:val="0"/>
        </w:rPr>
        <w:tab/>
      </w:r>
      <w:sdt>
        <w:sdtPr>
          <w:tag w:val="goog_rdk_3"/>
        </w:sdtPr>
        <w:sdtContent>
          <w:commentRangeStart w:id="3"/>
        </w:sdtContent>
      </w:sdt>
      <w:r w:rsidDel="00000000" w:rsidR="00000000" w:rsidRPr="00000000">
        <w:rPr>
          <w:rFonts w:ascii="Arial" w:cs="Arial" w:eastAsia="Arial" w:hAnsi="Arial"/>
          <w:sz w:val="24"/>
          <w:szCs w:val="24"/>
          <w:rtl w:val="0"/>
        </w:rPr>
        <w:t xml:space="preserve">Com os fatos apresentados pela consulente, sobre a possibilidade de um acordo extrajudicial para o pagamento dos valores em aberto, com consequente desistência da ação judicial de cobrança por parte da autora, </w:t>
      </w:r>
      <w:r w:rsidDel="00000000" w:rsidR="00000000" w:rsidRPr="00000000">
        <w:rPr>
          <w:rFonts w:ascii="Arial" w:cs="Arial" w:eastAsia="Arial" w:hAnsi="Arial"/>
          <w:b w:val="1"/>
          <w:sz w:val="24"/>
          <w:szCs w:val="24"/>
          <w:rtl w:val="0"/>
        </w:rPr>
        <w:t xml:space="preserve">não impede o prosseguimento do pedido feito na reconvenção, pelo fato, da ação reconvencional ser autônoma, ou seja, não depende da existência da ação principal</w:t>
      </w:r>
      <w:r w:rsidDel="00000000" w:rsidR="00000000" w:rsidRPr="00000000">
        <w:rPr>
          <w:rFonts w:ascii="Arial" w:cs="Arial" w:eastAsia="Arial" w:hAnsi="Arial"/>
          <w:sz w:val="24"/>
          <w:szCs w:val="24"/>
          <w:rtl w:val="0"/>
        </w:rPr>
        <w:t xml:space="preserve">, que nesse caso é a de cobrança, para o seu s</w:t>
      </w:r>
      <w:commentRangeEnd w:id="3"/>
      <w:r w:rsidDel="00000000" w:rsidR="00000000" w:rsidRPr="00000000">
        <w:commentReference w:id="3"/>
      </w:r>
      <w:r w:rsidDel="00000000" w:rsidR="00000000" w:rsidRPr="00000000">
        <w:rPr>
          <w:rFonts w:ascii="Arial" w:cs="Arial" w:eastAsia="Arial" w:hAnsi="Arial"/>
          <w:sz w:val="24"/>
          <w:szCs w:val="24"/>
          <w:rtl w:val="0"/>
        </w:rPr>
        <w:t xml:space="preserve">eguimento judicial, conforme amparo do parágrafo 2º do artigo 343 da  lei  n</w:t>
      </w:r>
      <w:r w:rsidDel="00000000" w:rsidR="00000000" w:rsidRPr="00000000">
        <w:rPr>
          <w:rFonts w:ascii="Arial" w:cs="Arial" w:eastAsia="Arial" w:hAnsi="Arial"/>
          <w:b w:val="1"/>
          <w:sz w:val="24"/>
          <w:szCs w:val="24"/>
          <w:rtl w:val="0"/>
        </w:rPr>
        <w:t xml:space="preserve">º</w:t>
      </w:r>
      <w:r w:rsidDel="00000000" w:rsidR="00000000" w:rsidRPr="00000000">
        <w:rPr>
          <w:rFonts w:ascii="Arial" w:cs="Arial" w:eastAsia="Arial" w:hAnsi="Arial"/>
          <w:b w:val="0"/>
          <w:sz w:val="24"/>
          <w:szCs w:val="24"/>
          <w:rtl w:val="0"/>
        </w:rPr>
        <w:t xml:space="preserve"> 13.105, de 16 de março de 2015 - Código de Processo Civil: </w:t>
      </w:r>
      <w:r w:rsidDel="00000000" w:rsidR="00000000" w:rsidRPr="00000000">
        <w:rPr>
          <w:rtl w:val="0"/>
        </w:rPr>
      </w:r>
    </w:p>
    <w:p w:rsidR="00000000" w:rsidDel="00000000" w:rsidP="00000000" w:rsidRDefault="00000000" w:rsidRPr="00000000" w14:paraId="000000AC">
      <w:pPr>
        <w:spacing w:after="0" w:line="24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b w:val="1"/>
          <w:color w:val="000000"/>
          <w:sz w:val="20"/>
          <w:szCs w:val="20"/>
          <w:highlight w:val="white"/>
          <w:rtl w:val="0"/>
        </w:rPr>
        <w:t xml:space="preserve">Art. 343.</w:t>
      </w:r>
      <w:r w:rsidDel="00000000" w:rsidR="00000000" w:rsidRPr="00000000">
        <w:rPr>
          <w:rFonts w:ascii="Arial" w:cs="Arial" w:eastAsia="Arial" w:hAnsi="Arial"/>
          <w:color w:val="000000"/>
          <w:sz w:val="20"/>
          <w:szCs w:val="20"/>
          <w:highlight w:val="white"/>
          <w:rtl w:val="0"/>
        </w:rPr>
        <w:t xml:space="preserve">  Na contestação, é lícito ao réu propor reconvenção para manifestar pretensão própria, conexa com a ação principal ou com o fundamento da defesa.</w:t>
      </w:r>
    </w:p>
    <w:p w:rsidR="00000000" w:rsidDel="00000000" w:rsidP="00000000" w:rsidRDefault="00000000" w:rsidRPr="00000000" w14:paraId="000000AD">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b w:val="1"/>
          <w:color w:val="000000"/>
          <w:sz w:val="20"/>
          <w:szCs w:val="20"/>
          <w:highlight w:val="white"/>
          <w:rtl w:val="0"/>
        </w:rPr>
        <w:t xml:space="preserve">§2</w:t>
      </w:r>
      <w:r w:rsidDel="00000000" w:rsidR="00000000" w:rsidRPr="00000000">
        <w:rPr>
          <w:rFonts w:ascii="Arial" w:cs="Arial" w:eastAsia="Arial" w:hAnsi="Arial"/>
          <w:color w:val="000000"/>
          <w:sz w:val="20"/>
          <w:szCs w:val="20"/>
          <w:highlight w:val="white"/>
          <w:vertAlign w:val="superscript"/>
          <w:rtl w:val="0"/>
        </w:rPr>
        <w:t xml:space="preserve">º </w:t>
      </w:r>
      <w:r w:rsidDel="00000000" w:rsidR="00000000" w:rsidRPr="00000000">
        <w:rPr>
          <w:rFonts w:ascii="Arial" w:cs="Arial" w:eastAsia="Arial" w:hAnsi="Arial"/>
          <w:color w:val="000000"/>
          <w:sz w:val="20"/>
          <w:szCs w:val="20"/>
          <w:highlight w:val="white"/>
          <w:u w:val="single"/>
          <w:rtl w:val="0"/>
        </w:rPr>
        <w:t xml:space="preserve">A desistência da ação </w:t>
      </w:r>
      <w:r w:rsidDel="00000000" w:rsidR="00000000" w:rsidRPr="00000000">
        <w:rPr>
          <w:rFonts w:ascii="Arial" w:cs="Arial" w:eastAsia="Arial" w:hAnsi="Arial"/>
          <w:color w:val="000000"/>
          <w:sz w:val="20"/>
          <w:szCs w:val="20"/>
          <w:highlight w:val="white"/>
          <w:rtl w:val="0"/>
        </w:rPr>
        <w:t xml:space="preserve">ou a ocorrência de causa extintiva</w:t>
      </w:r>
      <w:r w:rsidDel="00000000" w:rsidR="00000000" w:rsidRPr="00000000">
        <w:rPr>
          <w:rFonts w:ascii="Arial" w:cs="Arial" w:eastAsia="Arial" w:hAnsi="Arial"/>
          <w:color w:val="000000"/>
          <w:sz w:val="20"/>
          <w:szCs w:val="20"/>
          <w:highlight w:val="white"/>
          <w:u w:val="single"/>
          <w:rtl w:val="0"/>
        </w:rPr>
        <w:t xml:space="preserve"> que impeça o exame de seu mérito não obsta ao prosseguimento do processo quanto à reconvenção </w:t>
      </w:r>
      <w:r w:rsidDel="00000000" w:rsidR="00000000" w:rsidRPr="00000000">
        <w:rPr>
          <w:rFonts w:ascii="Arial" w:cs="Arial" w:eastAsia="Arial" w:hAnsi="Arial"/>
          <w:color w:val="000000"/>
          <w:sz w:val="20"/>
          <w:szCs w:val="20"/>
          <w:highlight w:val="white"/>
          <w:rtl w:val="0"/>
        </w:rPr>
        <w:t xml:space="preserve">(grifo nosso).</w:t>
      </w:r>
      <w:r w:rsidDel="00000000" w:rsidR="00000000" w:rsidRPr="00000000">
        <w:rPr>
          <w:rtl w:val="0"/>
        </w:rPr>
      </w:r>
    </w:p>
    <w:p w:rsidR="00000000" w:rsidDel="00000000" w:rsidP="00000000" w:rsidRDefault="00000000" w:rsidRPr="00000000" w14:paraId="000000AE">
      <w:pPr>
        <w:spacing w:after="20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AF">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Dessa forma, a ação de reconvenção prosseguirá com o mesmo valor, independentemente da desistência da ação principal ou até na ocorrência de causas extintivas.</w:t>
      </w:r>
    </w:p>
    <w:p w:rsidR="00000000" w:rsidDel="00000000" w:rsidP="00000000" w:rsidRDefault="00000000" w:rsidRPr="00000000" w14:paraId="000000B0">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highlight w:val="white"/>
          <w:rtl w:val="0"/>
        </w:rPr>
        <w:t xml:space="preserve">Vamos apresentar os </w:t>
      </w:r>
      <w:r w:rsidDel="00000000" w:rsidR="00000000" w:rsidRPr="00000000">
        <w:rPr>
          <w:rFonts w:ascii="Arial" w:cs="Arial" w:eastAsia="Arial" w:hAnsi="Arial"/>
          <w:i w:val="0"/>
          <w:sz w:val="24"/>
          <w:szCs w:val="24"/>
          <w:highlight w:val="white"/>
          <w:rtl w:val="0"/>
        </w:rPr>
        <w:t xml:space="preserve">entendimentos jurisprudenciais e tecer os comentários necessários</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B1">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AGRAVO DE INSTRUMENTO. AÇÃO DE COBRANÇA DE ALUGUÉIS. RECONHECIMENTO DA ILEGITIMIDADE PASSIVA DO RÉU/RECONVINTE. EXTINÇÃO SEM RESOLUÇÃO DE MÉRITO. </w:t>
      </w:r>
      <w:r w:rsidDel="00000000" w:rsidR="00000000" w:rsidRPr="00000000">
        <w:rPr>
          <w:rFonts w:ascii="Arial" w:cs="Arial" w:eastAsia="Arial" w:hAnsi="Arial"/>
          <w:b w:val="1"/>
          <w:sz w:val="20"/>
          <w:szCs w:val="20"/>
          <w:rtl w:val="0"/>
        </w:rPr>
        <w:t xml:space="preserve">RECONVENÇÃO. AUTONOMIA. PROSSEGUIMENTO</w:t>
      </w:r>
      <w:r w:rsidDel="00000000" w:rsidR="00000000" w:rsidRPr="00000000">
        <w:rPr>
          <w:rFonts w:ascii="Arial" w:cs="Arial" w:eastAsia="Arial" w:hAnsi="Arial"/>
          <w:sz w:val="20"/>
          <w:szCs w:val="20"/>
          <w:rtl w:val="0"/>
        </w:rPr>
        <w:t xml:space="preserve">. - </w:t>
      </w:r>
      <w:r w:rsidDel="00000000" w:rsidR="00000000" w:rsidRPr="00000000">
        <w:rPr>
          <w:rFonts w:ascii="Arial" w:cs="Arial" w:eastAsia="Arial" w:hAnsi="Arial"/>
          <w:b w:val="1"/>
          <w:sz w:val="20"/>
          <w:szCs w:val="20"/>
          <w:rtl w:val="0"/>
        </w:rPr>
        <w:t xml:space="preserve">A reconvenção possui natureza de ação autônoma</w:t>
      </w:r>
      <w:r w:rsidDel="00000000" w:rsidR="00000000" w:rsidRPr="00000000">
        <w:rPr>
          <w:rFonts w:ascii="Arial" w:cs="Arial" w:eastAsia="Arial" w:hAnsi="Arial"/>
          <w:sz w:val="20"/>
          <w:szCs w:val="20"/>
          <w:rtl w:val="0"/>
        </w:rPr>
        <w:t xml:space="preserve"> e inaugura pretensão própria, de forma que, consoante expresso no art. 343, § 2º do CPC: "</w:t>
      </w:r>
      <w:r w:rsidDel="00000000" w:rsidR="00000000" w:rsidRPr="00000000">
        <w:rPr>
          <w:rFonts w:ascii="Arial" w:cs="Arial" w:eastAsia="Arial" w:hAnsi="Arial"/>
          <w:b w:val="1"/>
          <w:sz w:val="20"/>
          <w:szCs w:val="20"/>
          <w:rtl w:val="0"/>
        </w:rPr>
        <w:t xml:space="preserve">A desistência da ação ou a ocorrência de causa extintiva que impeça o exame de seu mérito não obsta ao prosseguimento do processo quanto à reconvenção</w:t>
      </w:r>
      <w:r w:rsidDel="00000000" w:rsidR="00000000" w:rsidRPr="00000000">
        <w:rPr>
          <w:rFonts w:ascii="Arial" w:cs="Arial" w:eastAsia="Arial" w:hAnsi="Arial"/>
          <w:sz w:val="20"/>
          <w:szCs w:val="20"/>
          <w:rtl w:val="0"/>
        </w:rPr>
        <w:t xml:space="preserve">" - A extinção da ação principal de cobrança de aluguéis, sem resolução do mérito, em relação ao réu/reconvinte não impede o prosseguimento da reconvenção, pautada no pedido de condenação da parte autora à restituição em dobro do valores indevidamente cobrados no processo, com fulcro no art. 940 do CC. (TJ-MG - AI: 21928747220228130000, Relator: Des.(a) Rui de Almeida Magalhães, Data de Julgamento: 01/03/2023, 11ª CÂMARA CÍVEL, Data de Publicação: 01/03/2023).</w:t>
      </w:r>
    </w:p>
    <w:p w:rsidR="00000000" w:rsidDel="00000000" w:rsidP="00000000" w:rsidRDefault="00000000" w:rsidRPr="00000000" w14:paraId="000000B2">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3">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4">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APELAÇÃO CÍVEL 1006493-09.2019.8.11. 0040 APELANTES: TIAGO FELIPE DIER REZENDE e ANA ANGELICA OBEROSLER REZENDE APELADO: LAERCIO LUIS OBERHERR EMENTA RECURSO DE APELAÇÃO CÍVEL – AÇÃO DE REVISÃO DE CONTRATO E REPARAÇÃO CIVIL POR PERDAS E DANOS – PEDIDO RECONVENCIONAL – EXTINÇÃO DA AÇÃO PRINCIPAL SEM RESOLUÇÃO DO MÉRITO POR CANCELAMENTO DA DISTRIBUIÇÃO E PREJUDICIALIDADE DA RECONVENÇÃO – </w:t>
      </w:r>
      <w:r w:rsidDel="00000000" w:rsidR="00000000" w:rsidRPr="00000000">
        <w:rPr>
          <w:rFonts w:ascii="Arial" w:cs="Arial" w:eastAsia="Arial" w:hAnsi="Arial"/>
          <w:b w:val="1"/>
          <w:sz w:val="20"/>
          <w:szCs w:val="20"/>
          <w:rtl w:val="0"/>
        </w:rPr>
        <w:t xml:space="preserve">PROSSEGUIMENTO DA LIDE SECUNDÁRIA</w:t>
      </w:r>
      <w:r w:rsidDel="00000000" w:rsidR="00000000" w:rsidRPr="00000000">
        <w:rPr>
          <w:rFonts w:ascii="Arial" w:cs="Arial" w:eastAsia="Arial" w:hAnsi="Arial"/>
          <w:sz w:val="20"/>
          <w:szCs w:val="20"/>
          <w:rtl w:val="0"/>
        </w:rPr>
        <w:t xml:space="preserve"> – CABIMENTO – ARTIGO 343, § 2º, DO CPC/15 – </w:t>
      </w:r>
      <w:r w:rsidDel="00000000" w:rsidR="00000000" w:rsidRPr="00000000">
        <w:rPr>
          <w:rFonts w:ascii="Arial" w:cs="Arial" w:eastAsia="Arial" w:hAnsi="Arial"/>
          <w:b w:val="1"/>
          <w:sz w:val="20"/>
          <w:szCs w:val="20"/>
          <w:rtl w:val="0"/>
        </w:rPr>
        <w:t xml:space="preserve">AUTONOMIA DA RECONVENÇÃO</w:t>
      </w:r>
      <w:r w:rsidDel="00000000" w:rsidR="00000000" w:rsidRPr="00000000">
        <w:rPr>
          <w:rFonts w:ascii="Arial" w:cs="Arial" w:eastAsia="Arial" w:hAnsi="Arial"/>
          <w:sz w:val="20"/>
          <w:szCs w:val="20"/>
          <w:rtl w:val="0"/>
        </w:rPr>
        <w:t xml:space="preserve"> – HONORÁRIOS DE SUCUMBÊNCIA DEVIDOS – ANGULARIZAÇÃO PROCESSUAL PELO COMPARECIMENTO ESPONTÂNEO COM APRESENTAÇÃO DE CONTESTAÇÃO – ARTIGO 239, § 1º, DO CPC/15 – RECURSO PROVIDO. De acordo com o artigo 343, § 2º, do CPC/15, a reconvenção possui plena autonomia em relação à ação principal. Assim, ainda que </w:t>
      </w:r>
      <w:r w:rsidDel="00000000" w:rsidR="00000000" w:rsidRPr="00000000">
        <w:rPr>
          <w:rFonts w:ascii="Arial" w:cs="Arial" w:eastAsia="Arial" w:hAnsi="Arial"/>
          <w:b w:val="1"/>
          <w:sz w:val="20"/>
          <w:szCs w:val="20"/>
          <w:rtl w:val="0"/>
        </w:rPr>
        <w:t xml:space="preserve">ocorra a desistência ou extinção do processo sem resolução do mérito pelo cancelamento da distribuição ou por qualquer das hipóteses do artigo 485 do CPC/15,</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tais circunstâncias não obstam o prosseguimento da reconvenção</w:t>
      </w:r>
      <w:r w:rsidDel="00000000" w:rsidR="00000000" w:rsidRPr="00000000">
        <w:rPr>
          <w:rFonts w:ascii="Arial" w:cs="Arial" w:eastAsia="Arial" w:hAnsi="Arial"/>
          <w:sz w:val="20"/>
          <w:szCs w:val="20"/>
          <w:rtl w:val="0"/>
        </w:rPr>
        <w:t xml:space="preserve">. Logo, no caso, quando a ação principal foi extinta sem resolução do mérito (por ausência de recolhimento das custas processuais no prazo legal), se os demandados já haviam protocolado contestação e reconvenção, impõe-se a reforma da sentença para determinar o prosseguimento da reconvenção, com o aproveitamento da relação jurídica já instaurada. Na hipótese, são devidos os honorários de sucumbência pela parte autora/reconvinda, pois, ainda que não tenha havido a citação formal dos apelantes/reconvintes, houve o comparecimento voluntário em juízo, que supre a necessidade do ato citatório, conforme estabelece o § 1º do artigo 239 do Código de Processo Civil, instaurando-se o contraditório, já que contestada a demanda. -(TJ-MT 10064930920198110040 MT, Relator: MARILSEN ANDRADE ADDARIO, Data de Julgamento: 08/06/2022, Segunda Câmara de Direito Privado, Data de Publicação: 16/06/2022).</w:t>
      </w:r>
    </w:p>
    <w:p w:rsidR="00000000" w:rsidDel="00000000" w:rsidP="00000000" w:rsidRDefault="00000000" w:rsidRPr="00000000" w14:paraId="000000B5">
      <w:pPr>
        <w:spacing w:after="20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6">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DIREITO PROCESSUAL CIVIL - APELAÇÃO CÍVEL - AÇÃO DE DESPEJO C/C COBRANÇA - </w:t>
      </w:r>
      <w:r w:rsidDel="00000000" w:rsidR="00000000" w:rsidRPr="00000000">
        <w:rPr>
          <w:rFonts w:ascii="Arial" w:cs="Arial" w:eastAsia="Arial" w:hAnsi="Arial"/>
          <w:b w:val="1"/>
          <w:sz w:val="20"/>
          <w:szCs w:val="20"/>
          <w:rtl w:val="0"/>
        </w:rPr>
        <w:t xml:space="preserve">DESISTÊNCIA MANIFESTADA PELO AUTOR APÓS OFERECIDA CONTESTAÇÃO E PROPOSTA RECONVENÇÃO</w:t>
      </w:r>
      <w:r w:rsidDel="00000000" w:rsidR="00000000" w:rsidRPr="00000000">
        <w:rPr>
          <w:rFonts w:ascii="Arial" w:cs="Arial" w:eastAsia="Arial" w:hAnsi="Arial"/>
          <w:sz w:val="20"/>
          <w:szCs w:val="20"/>
          <w:rtl w:val="0"/>
        </w:rPr>
        <w:t xml:space="preserve"> - NECESSIDADE DE ANUÊNCIA DO RÉU - </w:t>
      </w:r>
      <w:r w:rsidDel="00000000" w:rsidR="00000000" w:rsidRPr="00000000">
        <w:rPr>
          <w:rFonts w:ascii="Arial" w:cs="Arial" w:eastAsia="Arial" w:hAnsi="Arial"/>
          <w:b w:val="1"/>
          <w:sz w:val="20"/>
          <w:szCs w:val="20"/>
          <w:rtl w:val="0"/>
        </w:rPr>
        <w:t xml:space="preserve">PROSSEGUIMENTO DO PLEITO RECONVENCIONAL</w:t>
      </w:r>
      <w:r w:rsidDel="00000000" w:rsidR="00000000" w:rsidRPr="00000000">
        <w:rPr>
          <w:rFonts w:ascii="Arial" w:cs="Arial" w:eastAsia="Arial" w:hAnsi="Arial"/>
          <w:sz w:val="20"/>
          <w:szCs w:val="20"/>
          <w:rtl w:val="0"/>
        </w:rPr>
        <w:t xml:space="preserve"> - INTELIGÊNCIA DOS ARTIGOS 343, § 2.º, E 485, § 4.º, AMBOS DO CÓDIGO DE PROCESSO CIVIL - RECURSO PROVIDO - SENTENÇA CASSADA. - Conforme dispõe o artigo 485, § 4.º, do Código de Processo Civil, oferecida a contestação, o autor não poderá, sem o consentimento do réu, desistir da ação </w:t>
      </w:r>
      <w:r w:rsidDel="00000000" w:rsidR="00000000" w:rsidRPr="00000000">
        <w:rPr>
          <w:rFonts w:ascii="Arial" w:cs="Arial" w:eastAsia="Arial" w:hAnsi="Arial"/>
          <w:b w:val="1"/>
          <w:sz w:val="20"/>
          <w:szCs w:val="20"/>
          <w:rtl w:val="0"/>
        </w:rPr>
        <w:t xml:space="preserve">- A desistência da ação não obsta ao prosseguimento do processo quanto à reconvenção</w:t>
      </w:r>
      <w:r w:rsidDel="00000000" w:rsidR="00000000" w:rsidRPr="00000000">
        <w:rPr>
          <w:rFonts w:ascii="Arial" w:cs="Arial" w:eastAsia="Arial" w:hAnsi="Arial"/>
          <w:sz w:val="20"/>
          <w:szCs w:val="20"/>
          <w:rtl w:val="0"/>
        </w:rPr>
        <w:t xml:space="preserve">, nos termos do artigo 343, § 2.º, do Código de Processo Civil. (TJ-MG - AC: 10000190374132001 MG, Relator: Márcio Idalmo Santos Miranda, Data de Julgamento: 21/05/2019, Data de Publicação: 03/06/2019).</w:t>
      </w:r>
    </w:p>
    <w:p w:rsidR="00000000" w:rsidDel="00000000" w:rsidP="00000000" w:rsidRDefault="00000000" w:rsidRPr="00000000" w14:paraId="000000B7">
      <w:pPr>
        <w:spacing w:after="20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8">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APELAÇÃO CÍVEL. AÇÃO DE REINTEGRAÇÃO DE POSSE. EXTINÇÃO DA AÇÃO PRINCIPAL. </w:t>
      </w:r>
      <w:r w:rsidDel="00000000" w:rsidR="00000000" w:rsidRPr="00000000">
        <w:rPr>
          <w:rFonts w:ascii="Arial" w:cs="Arial" w:eastAsia="Arial" w:hAnsi="Arial"/>
          <w:b w:val="1"/>
          <w:sz w:val="20"/>
          <w:szCs w:val="20"/>
          <w:rtl w:val="0"/>
        </w:rPr>
        <w:t xml:space="preserve">RECONVENÇÃO. PROSSEGUIMENTO</w:t>
      </w:r>
      <w:r w:rsidDel="00000000" w:rsidR="00000000" w:rsidRPr="00000000">
        <w:rPr>
          <w:rFonts w:ascii="Arial" w:cs="Arial" w:eastAsia="Arial" w:hAnsi="Arial"/>
          <w:sz w:val="20"/>
          <w:szCs w:val="20"/>
          <w:rtl w:val="0"/>
        </w:rPr>
        <w:t xml:space="preserve">. ART. 343, § 2º DO CPC/15. SENTENÇA CASSADA A sentença que julgou a reconvenção merece ser cassada para que sejam julgados, os pleitos reconvencionais, ainda que a ação principal tenha sido extinta em razão de desistência do requerente, nos termos do § 2º do artigo 343 do Código de Processo Civil que assim dispõe:</w:t>
      </w:r>
      <w:r w:rsidDel="00000000" w:rsidR="00000000" w:rsidRPr="00000000">
        <w:rPr>
          <w:rFonts w:ascii="Arial" w:cs="Arial" w:eastAsia="Arial" w:hAnsi="Arial"/>
          <w:b w:val="1"/>
          <w:sz w:val="20"/>
          <w:szCs w:val="20"/>
          <w:rtl w:val="0"/>
        </w:rPr>
        <w:t xml:space="preserve"> A desistência da ação ou a ocorrência de causa extintiva que impeça o exame de seu mérito não obsta ao prosseguimento do processo quanto à reconvenção</w:t>
      </w:r>
      <w:r w:rsidDel="00000000" w:rsidR="00000000" w:rsidRPr="00000000">
        <w:rPr>
          <w:rFonts w:ascii="Arial" w:cs="Arial" w:eastAsia="Arial" w:hAnsi="Arial"/>
          <w:sz w:val="20"/>
          <w:szCs w:val="20"/>
          <w:rtl w:val="0"/>
        </w:rPr>
        <w:t xml:space="preserve">. APELO CONHECIDO E PROVIDO. (TJ-GO - Apela&amp;ccedil;&amp;atilde;o (CPC): 01744416420198090006, Relator: Des(a). GERSON SANTANA CINTRA, Data de Julgamento: 15/06/2020, 3ª Câmara Cível, Data de Publicação: DJ de 15/06/2020).</w:t>
      </w:r>
    </w:p>
    <w:p w:rsidR="00000000" w:rsidDel="00000000" w:rsidP="00000000" w:rsidRDefault="00000000" w:rsidRPr="00000000" w14:paraId="000000B9">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A">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B">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de suma importância ressaltar que a jurisprudência nos traz que a ação reconvencional tem que possuir uma conexão com a principal, para que as duas sejam entrelaçadas ao mesmo processo em julgamento, e a desistência da ação principal sem o julgamento do mérito, não impede o prosseguimento do processo quanto à reconvenção.  </w:t>
      </w:r>
    </w:p>
    <w:p w:rsidR="00000000" w:rsidDel="00000000" w:rsidP="00000000" w:rsidRDefault="00000000" w:rsidRPr="00000000" w14:paraId="000000BC">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Quanto ao tema apresentado, vejamos o posicionamento de alguns doutrinadores renomados:  </w:t>
      </w:r>
    </w:p>
    <w:p w:rsidR="00000000" w:rsidDel="00000000" w:rsidP="00000000" w:rsidRDefault="00000000" w:rsidRPr="00000000" w14:paraId="000000BD">
      <w:pPr>
        <w:spacing w:after="200" w:line="360" w:lineRule="auto"/>
        <w:ind w:firstLine="566.9291338582675"/>
        <w:jc w:val="both"/>
        <w:rPr>
          <w:rFonts w:ascii="Arial" w:cs="Arial" w:eastAsia="Arial" w:hAnsi="Arial"/>
          <w:color w:val="0000ff"/>
          <w:sz w:val="24"/>
          <w:szCs w:val="24"/>
          <w:highlight w:val="white"/>
          <w:u w:val="single"/>
        </w:rPr>
      </w:pPr>
      <w:r w:rsidDel="00000000" w:rsidR="00000000" w:rsidRPr="00000000">
        <w:rPr>
          <w:rFonts w:ascii="Arial" w:cs="Arial" w:eastAsia="Arial" w:hAnsi="Arial"/>
          <w:color w:val="000000"/>
          <w:sz w:val="24"/>
          <w:szCs w:val="24"/>
          <w:highlight w:val="white"/>
          <w:u w:val="none"/>
          <w:rtl w:val="0"/>
        </w:rPr>
        <w:t xml:space="preserve">Conforme afirmam os doutrinadores Luiz </w:t>
      </w:r>
      <w:r w:rsidDel="00000000" w:rsidR="00000000" w:rsidRPr="00000000">
        <w:rPr>
          <w:rFonts w:ascii="Arial" w:cs="Arial" w:eastAsia="Arial" w:hAnsi="Arial"/>
          <w:sz w:val="24"/>
          <w:szCs w:val="24"/>
          <w:highlight w:val="white"/>
          <w:rtl w:val="0"/>
        </w:rPr>
        <w:t xml:space="preserve">Rodrigues Wambier; Eduardo Talamini (2022 cap. 9.6), </w:t>
      </w:r>
      <w:r w:rsidDel="00000000" w:rsidR="00000000" w:rsidRPr="00000000">
        <w:rPr>
          <w:rtl w:val="0"/>
        </w:rPr>
      </w:r>
    </w:p>
    <w:p w:rsidR="00000000" w:rsidDel="00000000" w:rsidP="00000000" w:rsidRDefault="00000000" w:rsidRPr="00000000" w14:paraId="000000BE">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Apesar de formulada no processo já instaurado pela ação principal, a ação reconvencional é autônoma, não estando sujeita ao destino daquela (art.343, § 2.°). Ambas apenas ficam unidas pelo liame procedimental da conexão e pelo fato de serem veiculadas no mesmo processo. Assim, se o autor desistir da ação principal, ou ocorrer qualquer motivo para sua extinção, a reconvenção poderá prosseguir, pois não há qualquer traço de acessoriedade. E, também, em sentido inverso: se houver desistência ou extinção da reconvenção, a ação principal não é, por isso, afetada.</w:t>
      </w:r>
    </w:p>
    <w:p w:rsidR="00000000" w:rsidDel="00000000" w:rsidP="00000000" w:rsidRDefault="00000000" w:rsidRPr="00000000" w14:paraId="000000BF">
      <w:pPr>
        <w:spacing w:after="0" w:line="360"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C0">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Segundo o doutrinador Alvim, Eduardo Arruda (2019 p. 560),</w:t>
      </w:r>
    </w:p>
    <w:p w:rsidR="00000000" w:rsidDel="00000000" w:rsidP="00000000" w:rsidRDefault="00000000" w:rsidRPr="00000000" w14:paraId="000000C1">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Porém, desde que o réu tenha formulado pedido reconvencional, a desistência da ação (ou a sua extinção por qualquer causa) não obsta ao prosseguimento da reconvenção (art. 343, § 2o, do CPC/2015). Da mesma forma, deve-se entender que a desistência da reconvenção ou sua extinção não afeta a marcha da ação principal.</w:t>
      </w:r>
    </w:p>
    <w:p w:rsidR="00000000" w:rsidDel="00000000" w:rsidP="00000000" w:rsidRDefault="00000000" w:rsidRPr="00000000" w14:paraId="000000C2">
      <w:pPr>
        <w:spacing w:after="20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3">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suma, a reconvenção consiste em um contra-ataque por parte dos réus “ Alessandra e Abílio”, ou seja, a reconvenção não substitui a defesa, se os réus apenas apresentarem a reconvenção eles não estarão insetos na impugnação dos pedidos da ação principal, sendo assim, se o réu não impugnar os pedidos da ação principal, os mesmos serão dados como verdadeiros, sendo a terminologia popular “quem cala consente”.  </w:t>
      </w:r>
    </w:p>
    <w:p w:rsidR="00000000" w:rsidDel="00000000" w:rsidP="00000000" w:rsidRDefault="00000000" w:rsidRPr="00000000" w14:paraId="000000C4">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Vale ressaltar que a ação reconvencional pode ser apresentada com a contestação ou de forma solitária, sendo assim, é possível analisar que os réus/requeridos possuem a preclusão consumativa, pelo fato da parte realizadora possuir o poder de escolha do modo como apresentará sua resposta ao judiciário.</w:t>
      </w:r>
    </w:p>
    <w:p w:rsidR="00000000" w:rsidDel="00000000" w:rsidP="00000000" w:rsidRDefault="00000000" w:rsidRPr="00000000" w14:paraId="000000C5">
      <w:pPr>
        <w:spacing w:after="200" w:line="360" w:lineRule="auto"/>
        <w:ind w:firstLine="567"/>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A parte requerida poderá propor reconvenção independentemente de oferecer contestação, conforme acima </w:t>
      </w:r>
      <w:r w:rsidDel="00000000" w:rsidR="00000000" w:rsidRPr="00000000">
        <w:rPr>
          <w:rFonts w:ascii="Arial" w:cs="Arial" w:eastAsia="Arial" w:hAnsi="Arial"/>
          <w:sz w:val="24"/>
          <w:szCs w:val="24"/>
          <w:highlight w:val="white"/>
          <w:rtl w:val="0"/>
        </w:rPr>
        <w:t xml:space="preserve">explicitado</w:t>
      </w:r>
      <w:r w:rsidDel="00000000" w:rsidR="00000000" w:rsidRPr="00000000">
        <w:rPr>
          <w:rFonts w:ascii="Arial" w:cs="Arial" w:eastAsia="Arial" w:hAnsi="Arial"/>
          <w:color w:val="000000"/>
          <w:sz w:val="24"/>
          <w:szCs w:val="24"/>
          <w:highlight w:val="white"/>
          <w:rtl w:val="0"/>
        </w:rPr>
        <w:t xml:space="preserve">, mas no presente caso o casal</w:t>
      </w:r>
      <w:r w:rsidDel="00000000" w:rsidR="00000000" w:rsidRPr="00000000">
        <w:rPr>
          <w:rFonts w:ascii="Arial" w:cs="Arial" w:eastAsia="Arial" w:hAnsi="Arial"/>
          <w:sz w:val="24"/>
          <w:szCs w:val="24"/>
          <w:rtl w:val="0"/>
        </w:rPr>
        <w:t xml:space="preserve"> não se intimidou, e, além de contestar o pedido da construtora alegando direito de retenção, apresentou uma reconvenção.</w:t>
      </w:r>
      <w:r w:rsidDel="00000000" w:rsidR="00000000" w:rsidRPr="00000000">
        <w:rPr>
          <w:rtl w:val="0"/>
        </w:rPr>
      </w:r>
    </w:p>
    <w:p w:rsidR="00000000" w:rsidDel="00000000" w:rsidP="00000000" w:rsidRDefault="00000000" w:rsidRPr="00000000" w14:paraId="000000C6">
      <w:pPr>
        <w:spacing w:after="200" w:line="360" w:lineRule="auto"/>
        <w:ind w:firstLine="567"/>
        <w:jc w:val="both"/>
        <w:rPr>
          <w:rFonts w:ascii="Arial" w:cs="Arial" w:eastAsia="Arial" w:hAnsi="Arial"/>
          <w:color w:val="000000"/>
          <w:sz w:val="24"/>
          <w:szCs w:val="24"/>
          <w:highlight w:val="white"/>
        </w:rPr>
      </w:pPr>
      <w:sdt>
        <w:sdtPr>
          <w:tag w:val="goog_rdk_4"/>
        </w:sdtPr>
        <w:sdtContent>
          <w:commentRangeStart w:id="4"/>
        </w:sdtContent>
      </w:sdt>
      <w:r w:rsidDel="00000000" w:rsidR="00000000" w:rsidRPr="00000000">
        <w:rPr>
          <w:rFonts w:ascii="Arial" w:cs="Arial" w:eastAsia="Arial" w:hAnsi="Arial"/>
          <w:sz w:val="24"/>
          <w:szCs w:val="24"/>
          <w:rtl w:val="0"/>
        </w:rPr>
        <w:t xml:space="preserve">Conclui-se que, na ação movida pela construtora contra Alessandra e Abílio, a celebração de um acordo extrajudicial para pagamento dos valores em aberto, com consequente desistência da ação judicial de cobrança</w:t>
      </w:r>
      <w:r w:rsidDel="00000000" w:rsidR="00000000" w:rsidRPr="00000000">
        <w:rPr>
          <w:rFonts w:ascii="Arial" w:cs="Arial" w:eastAsia="Arial" w:hAnsi="Arial"/>
          <w:b w:val="1"/>
          <w:sz w:val="24"/>
          <w:szCs w:val="24"/>
          <w:rtl w:val="0"/>
        </w:rPr>
        <w:t xml:space="preserve">, não</w:t>
      </w:r>
      <w:r w:rsidDel="00000000" w:rsidR="00000000" w:rsidRPr="00000000">
        <w:rPr>
          <w:rFonts w:ascii="Arial" w:cs="Arial" w:eastAsia="Arial" w:hAnsi="Arial"/>
          <w:sz w:val="24"/>
          <w:szCs w:val="24"/>
          <w:rtl w:val="0"/>
        </w:rPr>
        <w:t xml:space="preserve"> impede o prosseguimento do pedido feito na reconvenção.</w:t>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C7">
      <w:pPr>
        <w:spacing w:after="200" w:line="360"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C8">
      <w:pPr>
        <w:spacing w:after="200" w:line="360"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1.2 BENEFÍCIO DA TRAMITAÇÃO PRIORITÁRIA A PESSOA IDOSA.</w:t>
      </w:r>
    </w:p>
    <w:p w:rsidR="00000000" w:rsidDel="00000000" w:rsidP="00000000" w:rsidRDefault="00000000" w:rsidRPr="00000000" w14:paraId="000000C9">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b w:val="1"/>
          <w:sz w:val="24"/>
          <w:szCs w:val="24"/>
          <w:rtl w:val="0"/>
        </w:rPr>
        <w:tab/>
      </w:r>
      <w:r w:rsidDel="00000000" w:rsidR="00000000" w:rsidRPr="00000000">
        <w:rPr>
          <w:rFonts w:ascii="Arial" w:cs="Arial" w:eastAsia="Arial" w:hAnsi="Arial"/>
          <w:sz w:val="24"/>
          <w:szCs w:val="24"/>
          <w:rtl w:val="0"/>
        </w:rPr>
        <w:t xml:space="preserve">A respeito da tramitação prioritária em caso de prosseguimento da ação, é de suma importância primeiramente entender o conceito de tramitação, que consiste em possuir uma prioridade na tramitação dos processos, ou seja, tem o intuito de celeridade processual. </w:t>
      </w:r>
    </w:p>
    <w:p w:rsidR="00000000" w:rsidDel="00000000" w:rsidP="00000000" w:rsidRDefault="00000000" w:rsidRPr="00000000" w14:paraId="000000CA">
      <w:pPr>
        <w:spacing w:after="200" w:line="360" w:lineRule="auto"/>
        <w:ind w:firstLine="284"/>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Vale ressaltar, que no caso apresentado “Abílio” terá os benefícios da prioridade pelo fato de possuir idade superior a 60 anos, como também, será concedido ao litisconsorte “Alessandra” mesmo que possua idade inferior a 60 anos, como é o caso em questão.</w:t>
      </w:r>
    </w:p>
    <w:p w:rsidR="00000000" w:rsidDel="00000000" w:rsidP="00000000" w:rsidRDefault="00000000" w:rsidRPr="00000000" w14:paraId="000000CB">
      <w:pPr>
        <w:spacing w:after="200" w:line="360" w:lineRule="auto"/>
        <w:ind w:firstLine="566.9291338582675"/>
        <w:jc w:val="both"/>
        <w:rPr>
          <w:rFonts w:ascii="Arial" w:cs="Arial" w:eastAsia="Arial" w:hAnsi="Arial"/>
          <w:b w:val="1"/>
          <w:color w:val="000000"/>
          <w:sz w:val="24"/>
          <w:szCs w:val="24"/>
          <w:highlight w:val="white"/>
        </w:rPr>
      </w:pPr>
      <w:r w:rsidDel="00000000" w:rsidR="00000000" w:rsidRPr="00000000">
        <w:rPr>
          <w:rFonts w:ascii="Arial" w:cs="Arial" w:eastAsia="Arial" w:hAnsi="Arial"/>
          <w:sz w:val="24"/>
          <w:szCs w:val="24"/>
          <w:rtl w:val="0"/>
        </w:rPr>
        <w:t xml:space="preserve">Observamos, o que diz a</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color w:val="000000"/>
          <w:sz w:val="24"/>
          <w:szCs w:val="24"/>
          <w:highlight w:val="white"/>
          <w:rtl w:val="0"/>
        </w:rPr>
        <w:t xml:space="preserve">Lei</w:t>
      </w:r>
      <w:r w:rsidDel="00000000" w:rsidR="00000000" w:rsidRPr="00000000">
        <w:rPr>
          <w:rFonts w:ascii="Arial" w:cs="Arial" w:eastAsia="Arial" w:hAnsi="Arial"/>
          <w:b w:val="1"/>
          <w:sz w:val="24"/>
          <w:szCs w:val="24"/>
          <w:highlight w:val="white"/>
          <w:rtl w:val="0"/>
        </w:rPr>
        <w:t xml:space="preserve"> n</w:t>
      </w:r>
      <w:r w:rsidDel="00000000" w:rsidR="00000000" w:rsidRPr="00000000">
        <w:rPr>
          <w:rFonts w:ascii="Arial" w:cs="Arial" w:eastAsia="Arial" w:hAnsi="Arial"/>
          <w:b w:val="1"/>
          <w:sz w:val="24"/>
          <w:szCs w:val="24"/>
          <w:highlight w:val="white"/>
          <w:vertAlign w:val="superscript"/>
          <w:rtl w:val="0"/>
        </w:rPr>
        <w:t xml:space="preserve">o</w:t>
      </w:r>
      <w:r w:rsidDel="00000000" w:rsidR="00000000" w:rsidRPr="00000000">
        <w:rPr>
          <w:rFonts w:ascii="Arial" w:cs="Arial" w:eastAsia="Arial" w:hAnsi="Arial"/>
          <w:b w:val="1"/>
          <w:sz w:val="24"/>
          <w:szCs w:val="24"/>
          <w:highlight w:val="white"/>
          <w:rtl w:val="0"/>
        </w:rPr>
        <w:t xml:space="preserve"> 10.741</w:t>
      </w:r>
      <w:r w:rsidDel="00000000" w:rsidR="00000000" w:rsidRPr="00000000">
        <w:rPr>
          <w:rFonts w:ascii="Arial" w:cs="Arial" w:eastAsia="Arial" w:hAnsi="Arial"/>
          <w:b w:val="0"/>
          <w:sz w:val="24"/>
          <w:szCs w:val="24"/>
          <w:highlight w:val="white"/>
          <w:rtl w:val="0"/>
        </w:rPr>
        <w:t xml:space="preserve">, de 1º de outubro de 2003</w:t>
      </w:r>
      <w:r w:rsidDel="00000000" w:rsidR="00000000" w:rsidRPr="00000000">
        <w:rPr>
          <w:rFonts w:ascii="Arial" w:cs="Arial" w:eastAsia="Arial" w:hAnsi="Arial"/>
          <w:b w:val="1"/>
          <w:sz w:val="24"/>
          <w:szCs w:val="24"/>
          <w:rtl w:val="0"/>
        </w:rPr>
        <w:t xml:space="preserve"> -</w:t>
      </w:r>
      <w:r w:rsidDel="00000000" w:rsidR="00000000" w:rsidRPr="00000000">
        <w:rPr>
          <w:rFonts w:ascii="Arial" w:cs="Arial" w:eastAsia="Arial" w:hAnsi="Arial"/>
          <w:b w:val="1"/>
          <w:color w:val="000000"/>
          <w:sz w:val="24"/>
          <w:szCs w:val="24"/>
          <w:highlight w:val="white"/>
          <w:rtl w:val="0"/>
        </w:rPr>
        <w:t xml:space="preserve"> Estatuto da pessoa idosa:</w:t>
      </w:r>
    </w:p>
    <w:p w:rsidR="00000000" w:rsidDel="00000000" w:rsidP="00000000" w:rsidRDefault="00000000" w:rsidRPr="00000000" w14:paraId="000000CC">
      <w:pPr>
        <w:spacing w:after="0" w:line="24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b w:val="1"/>
          <w:color w:val="000000"/>
          <w:sz w:val="20"/>
          <w:szCs w:val="20"/>
          <w:highlight w:val="white"/>
          <w:rtl w:val="0"/>
        </w:rPr>
        <w:t xml:space="preserve">Art. 71.</w:t>
      </w:r>
      <w:r w:rsidDel="00000000" w:rsidR="00000000" w:rsidRPr="00000000">
        <w:rPr>
          <w:rFonts w:ascii="Arial" w:cs="Arial" w:eastAsia="Arial" w:hAnsi="Arial"/>
          <w:color w:val="000000"/>
          <w:sz w:val="20"/>
          <w:szCs w:val="20"/>
          <w:highlight w:val="white"/>
          <w:rtl w:val="0"/>
        </w:rPr>
        <w:t xml:space="preserve"> É assegurada prioridade na tramitação dos processos e procedimentos e na execução dos atos e diligências judiciais em que figure como parte ou interveniente pessoa com idade igual ou superior a 60 (sessenta) anos, em qualquer instância.</w:t>
      </w:r>
    </w:p>
    <w:p w:rsidR="00000000" w:rsidDel="00000000" w:rsidP="00000000" w:rsidRDefault="00000000" w:rsidRPr="00000000" w14:paraId="000000CD">
      <w:pPr>
        <w:spacing w:after="20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E">
      <w:pP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com o prosseguimento do processo, o mesmo terá tramitação prioritária, pelo fato de Abílio estar incluso no polo da ação, e ser considerado pessoa idosa, pois possui idade superior a 60 anos, ou seja, tem direito ao benefício da tramitação prioritária, segundo o Estatuto da Pessoa Idosa. Alessandra, também faz parte do polo da ação, e mesmo que não seja considerada como pessoa idosa, irá usufruir do benefício concedido ao seu cônjuge, pois o processo é uno entre eles.   </w:t>
      </w:r>
    </w:p>
    <w:p w:rsidR="00000000" w:rsidDel="00000000" w:rsidP="00000000" w:rsidRDefault="00000000" w:rsidRPr="00000000" w14:paraId="000000CF">
      <w:pPr>
        <w:spacing w:after="200" w:line="360" w:lineRule="auto"/>
        <w:ind w:firstLine="567"/>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O idoso também possui amparo perante a</w:t>
      </w:r>
      <w:r w:rsidDel="00000000" w:rsidR="00000000" w:rsidRPr="00000000">
        <w:rPr>
          <w:rFonts w:ascii="Arial" w:cs="Arial" w:eastAsia="Arial" w:hAnsi="Arial"/>
          <w:b w:val="1"/>
          <w:sz w:val="24"/>
          <w:szCs w:val="24"/>
          <w:rtl w:val="0"/>
        </w:rPr>
        <w:t xml:space="preserve"> Lei nº 13.105, de 16 de março de 2015 - Código de Processo Civil:</w:t>
      </w:r>
      <w:r w:rsidDel="00000000" w:rsidR="00000000" w:rsidRPr="00000000">
        <w:rPr>
          <w:rFonts w:ascii="Arial" w:cs="Arial" w:eastAsia="Arial" w:hAnsi="Arial"/>
          <w:b w:val="0"/>
          <w:sz w:val="24"/>
          <w:szCs w:val="24"/>
          <w:rtl w:val="0"/>
        </w:rPr>
        <w:t xml:space="preserve"> </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Art. 1.048</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Terão prioridade de tramitação, em qualquer juízo ou tribunal, os procedimentos judiciais:</w:t>
      </w:r>
      <w:bookmarkStart w:colFirst="0" w:colLast="0" w:name="bookmark=id.gjdgxs" w:id="0"/>
      <w:bookmarkEnd w:id="0"/>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I - em que figure como parte ou interessado pessoa com idade igual ou superior a 60 (sessenta) anos ou portadora de doença grave, assim compreendida qualquer das enumeradas no art. 6º, inciso XIV, da Lei nº 7.713, de 22 de dezembro de 1988;</w:t>
      </w:r>
    </w:p>
    <w:p w:rsidR="00000000" w:rsidDel="00000000" w:rsidP="00000000" w:rsidRDefault="00000000" w:rsidRPr="00000000" w14:paraId="000000D2">
      <w:pPr>
        <w:spacing w:after="0" w:line="240" w:lineRule="auto"/>
        <w:ind w:left="2268" w:firstLine="0"/>
        <w:jc w:val="both"/>
        <w:rPr>
          <w:rFonts w:ascii="Arial" w:cs="Arial" w:eastAsia="Arial" w:hAnsi="Arial"/>
          <w:color w:val="000000"/>
          <w:sz w:val="20"/>
          <w:szCs w:val="20"/>
        </w:rPr>
      </w:pPr>
      <w:r w:rsidDel="00000000" w:rsidR="00000000" w:rsidRPr="00000000">
        <w:rPr>
          <w:rFonts w:ascii="Arial" w:cs="Arial" w:eastAsia="Arial" w:hAnsi="Arial"/>
          <w:b w:val="1"/>
          <w:color w:val="000000"/>
          <w:sz w:val="20"/>
          <w:szCs w:val="20"/>
          <w:rtl w:val="0"/>
        </w:rPr>
        <w:t xml:space="preserve">§ 1º</w:t>
      </w:r>
      <w:r w:rsidDel="00000000" w:rsidR="00000000" w:rsidRPr="00000000">
        <w:rPr>
          <w:rFonts w:ascii="Arial" w:cs="Arial" w:eastAsia="Arial" w:hAnsi="Arial"/>
          <w:color w:val="000000"/>
          <w:sz w:val="20"/>
          <w:szCs w:val="20"/>
          <w:rtl w:val="0"/>
        </w:rPr>
        <w:t xml:space="preserve"> A pessoa interessada na obtenção do benefício, juntando prova de sua condição, deverá requerê-lo à autoridade judiciária competente para decidir o feito, que determinará ao cartório do juízo as providências a serem cumpridas.</w:t>
      </w:r>
    </w:p>
    <w:bookmarkStart w:colFirst="0" w:colLast="0" w:name="bookmark=id.30j0zll" w:id="1"/>
    <w:bookmarkEnd w:id="1"/>
    <w:p w:rsidR="00000000" w:rsidDel="00000000" w:rsidP="00000000" w:rsidRDefault="00000000" w:rsidRPr="00000000" w14:paraId="000000D3">
      <w:pPr>
        <w:spacing w:after="0" w:line="240" w:lineRule="auto"/>
        <w:ind w:left="2268" w:firstLine="0"/>
        <w:jc w:val="both"/>
        <w:rPr>
          <w:rFonts w:ascii="Arial" w:cs="Arial" w:eastAsia="Arial" w:hAnsi="Arial"/>
          <w:color w:val="000000"/>
          <w:sz w:val="20"/>
          <w:szCs w:val="20"/>
        </w:rPr>
      </w:pPr>
      <w:r w:rsidDel="00000000" w:rsidR="00000000" w:rsidRPr="00000000">
        <w:rPr>
          <w:rFonts w:ascii="Arial" w:cs="Arial" w:eastAsia="Arial" w:hAnsi="Arial"/>
          <w:b w:val="1"/>
          <w:color w:val="000000"/>
          <w:sz w:val="20"/>
          <w:szCs w:val="20"/>
          <w:rtl w:val="0"/>
        </w:rPr>
        <w:t xml:space="preserve">§ 2</w:t>
      </w:r>
      <w:r w:rsidDel="00000000" w:rsidR="00000000" w:rsidRPr="00000000">
        <w:rPr>
          <w:rFonts w:ascii="Arial" w:cs="Arial" w:eastAsia="Arial" w:hAnsi="Arial"/>
          <w:color w:val="000000"/>
          <w:sz w:val="20"/>
          <w:szCs w:val="20"/>
          <w:rtl w:val="0"/>
        </w:rPr>
        <w:t xml:space="preserve">º Deferida a prioridade, os autos receberão identificação própria que evidencie o regime de tramitação prioritária.</w:t>
      </w:r>
    </w:p>
    <w:bookmarkStart w:colFirst="0" w:colLast="0" w:name="bookmark=id.1fob9te" w:id="2"/>
    <w:bookmarkEnd w:id="2"/>
    <w:p w:rsidR="00000000" w:rsidDel="00000000" w:rsidP="00000000" w:rsidRDefault="00000000" w:rsidRPr="00000000" w14:paraId="000000D4">
      <w:pPr>
        <w:spacing w:after="0" w:line="240" w:lineRule="auto"/>
        <w:ind w:left="2268" w:firstLine="0"/>
        <w:jc w:val="both"/>
        <w:rPr>
          <w:rFonts w:ascii="Arial" w:cs="Arial" w:eastAsia="Arial" w:hAnsi="Arial"/>
          <w:color w:val="000000"/>
          <w:sz w:val="20"/>
          <w:szCs w:val="20"/>
        </w:rPr>
      </w:pPr>
      <w:r w:rsidDel="00000000" w:rsidR="00000000" w:rsidRPr="00000000">
        <w:rPr>
          <w:rFonts w:ascii="Arial" w:cs="Arial" w:eastAsia="Arial" w:hAnsi="Arial"/>
          <w:b w:val="1"/>
          <w:color w:val="000000"/>
          <w:sz w:val="20"/>
          <w:szCs w:val="20"/>
          <w:rtl w:val="0"/>
        </w:rPr>
        <w:t xml:space="preserve">§ 3</w:t>
      </w:r>
      <w:r w:rsidDel="00000000" w:rsidR="00000000" w:rsidRPr="00000000">
        <w:rPr>
          <w:rFonts w:ascii="Arial" w:cs="Arial" w:eastAsia="Arial" w:hAnsi="Arial"/>
          <w:color w:val="000000"/>
          <w:sz w:val="20"/>
          <w:szCs w:val="20"/>
          <w:rtl w:val="0"/>
        </w:rPr>
        <w:t xml:space="preserve">º Concedida a prioridade, essa não cessará com a morte do beneficiado, estendendo-se em favor do cônjuge supérstite ou do companheiro em união estável.</w:t>
      </w:r>
    </w:p>
    <w:bookmarkStart w:colFirst="0" w:colLast="0" w:name="bookmark=id.3znysh7" w:id="3"/>
    <w:bookmarkEnd w:id="3"/>
    <w:p w:rsidR="00000000" w:rsidDel="00000000" w:rsidP="00000000" w:rsidRDefault="00000000" w:rsidRPr="00000000" w14:paraId="000000D5">
      <w:pPr>
        <w:spacing w:after="0" w:line="240" w:lineRule="auto"/>
        <w:ind w:left="2268" w:firstLine="0"/>
        <w:jc w:val="both"/>
        <w:rPr>
          <w:rFonts w:ascii="Arial" w:cs="Arial" w:eastAsia="Arial" w:hAnsi="Arial"/>
          <w:color w:val="000000"/>
          <w:sz w:val="20"/>
          <w:szCs w:val="20"/>
        </w:rPr>
      </w:pPr>
      <w:r w:rsidDel="00000000" w:rsidR="00000000" w:rsidRPr="00000000">
        <w:rPr>
          <w:rFonts w:ascii="Arial" w:cs="Arial" w:eastAsia="Arial" w:hAnsi="Arial"/>
          <w:b w:val="1"/>
          <w:color w:val="000000"/>
          <w:sz w:val="20"/>
          <w:szCs w:val="20"/>
          <w:rtl w:val="0"/>
        </w:rPr>
        <w:t xml:space="preserve">§ 4º</w:t>
      </w:r>
      <w:r w:rsidDel="00000000" w:rsidR="00000000" w:rsidRPr="00000000">
        <w:rPr>
          <w:rFonts w:ascii="Arial" w:cs="Arial" w:eastAsia="Arial" w:hAnsi="Arial"/>
          <w:color w:val="000000"/>
          <w:sz w:val="20"/>
          <w:szCs w:val="20"/>
          <w:rtl w:val="0"/>
        </w:rPr>
        <w:t xml:space="preserve"> A tramitação prioritária independe de deferimento pelo órgão jurisdicional e deverá ser imediatamente concedida diante da prova da condição de beneficiário.</w:t>
      </w:r>
    </w:p>
    <w:p w:rsidR="00000000" w:rsidDel="00000000" w:rsidP="00000000" w:rsidRDefault="00000000" w:rsidRPr="00000000" w14:paraId="000000D6">
      <w:pPr>
        <w:spacing w:after="200" w:line="360" w:lineRule="auto"/>
        <w:ind w:firstLine="720"/>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D7">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Vejamos, entendimentos jurisprudenciais:</w:t>
      </w:r>
    </w:p>
    <w:p w:rsidR="00000000" w:rsidDel="00000000" w:rsidP="00000000" w:rsidRDefault="00000000" w:rsidRPr="00000000" w14:paraId="000000D8">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PROCESSUAL CIVIL – IDOSO – </w:t>
      </w:r>
      <w:r w:rsidDel="00000000" w:rsidR="00000000" w:rsidRPr="00000000">
        <w:rPr>
          <w:rFonts w:ascii="Arial" w:cs="Arial" w:eastAsia="Arial" w:hAnsi="Arial"/>
          <w:b w:val="1"/>
          <w:sz w:val="20"/>
          <w:szCs w:val="20"/>
          <w:rtl w:val="0"/>
        </w:rPr>
        <w:t xml:space="preserve">PRIORIDADE NA TRAMITAÇÃO PROCESSUAL</w:t>
      </w:r>
      <w:r w:rsidDel="00000000" w:rsidR="00000000" w:rsidRPr="00000000">
        <w:rPr>
          <w:rFonts w:ascii="Arial" w:cs="Arial" w:eastAsia="Arial" w:hAnsi="Arial"/>
          <w:sz w:val="20"/>
          <w:szCs w:val="20"/>
          <w:rtl w:val="0"/>
        </w:rPr>
        <w:t xml:space="preserve"> – LITISCONSÓRCIO COM PESSOAS COM MENOS DE SESSENTA ANOS - IRRELEVÂNCIA. 1. </w:t>
      </w:r>
      <w:r w:rsidDel="00000000" w:rsidR="00000000" w:rsidRPr="00000000">
        <w:rPr>
          <w:rFonts w:ascii="Arial" w:cs="Arial" w:eastAsia="Arial" w:hAnsi="Arial"/>
          <w:b w:val="1"/>
          <w:sz w:val="20"/>
          <w:szCs w:val="20"/>
          <w:rtl w:val="0"/>
        </w:rPr>
        <w:t xml:space="preserve">A tramitação prioritária do processo é cabível em qualquer instância sempre que figurar como parte ou interveniente pessoa com idade igual ou superior a 60 anos</w:t>
      </w:r>
      <w:r w:rsidDel="00000000" w:rsidR="00000000" w:rsidRPr="00000000">
        <w:rPr>
          <w:rFonts w:ascii="Arial" w:cs="Arial" w:eastAsia="Arial" w:hAnsi="Arial"/>
          <w:sz w:val="20"/>
          <w:szCs w:val="20"/>
          <w:rtl w:val="0"/>
        </w:rPr>
        <w:t xml:space="preserve"> (art. 71 da Lei nº 10.741/03). 2</w:t>
      </w:r>
      <w:r w:rsidDel="00000000" w:rsidR="00000000" w:rsidRPr="00000000">
        <w:rPr>
          <w:rFonts w:ascii="Arial" w:cs="Arial" w:eastAsia="Arial" w:hAnsi="Arial"/>
          <w:b w:val="1"/>
          <w:sz w:val="20"/>
          <w:szCs w:val="20"/>
          <w:rtl w:val="0"/>
        </w:rPr>
        <w:t xml:space="preserve">. A existência de litisconsortes com menos de 60 anos não obsta a tramitação prioritária do feito nem impõe o desmembramento da demanda para a concessão do benefício</w:t>
      </w:r>
      <w:r w:rsidDel="00000000" w:rsidR="00000000" w:rsidRPr="00000000">
        <w:rPr>
          <w:rFonts w:ascii="Arial" w:cs="Arial" w:eastAsia="Arial" w:hAnsi="Arial"/>
          <w:sz w:val="20"/>
          <w:szCs w:val="20"/>
          <w:rtl w:val="0"/>
        </w:rPr>
        <w:t xml:space="preserve">. Decisão reformada. Recurso provido. (TJ-SP - AI: 22425165620198260000 SP 2242516-56.2019.8.26.0000, Relator: Décio Notarangeli, Data de Julgamento: 03/02/2020, 9ª Câmara de Direito Público, Data de Publicação: 03/02/2020).</w:t>
      </w:r>
    </w:p>
    <w:p w:rsidR="00000000" w:rsidDel="00000000" w:rsidP="00000000" w:rsidRDefault="00000000" w:rsidRPr="00000000" w14:paraId="000000D9">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A">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PROCESSO CIVIL. </w:t>
      </w:r>
      <w:r w:rsidDel="00000000" w:rsidR="00000000" w:rsidRPr="00000000">
        <w:rPr>
          <w:rFonts w:ascii="Arial" w:cs="Arial" w:eastAsia="Arial" w:hAnsi="Arial"/>
          <w:b w:val="1"/>
          <w:sz w:val="20"/>
          <w:szCs w:val="20"/>
          <w:rtl w:val="0"/>
        </w:rPr>
        <w:t xml:space="preserve">PRIORIDADE NA</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b w:val="1"/>
          <w:sz w:val="20"/>
          <w:szCs w:val="20"/>
          <w:rtl w:val="0"/>
        </w:rPr>
        <w:t xml:space="preserve">TRAMITAÇÃO DO PROCESSO. IDOSOS. LITISCONSÓRCIO</w:t>
      </w:r>
      <w:r w:rsidDel="00000000" w:rsidR="00000000" w:rsidRPr="00000000">
        <w:rPr>
          <w:rFonts w:ascii="Arial" w:cs="Arial" w:eastAsia="Arial" w:hAnsi="Arial"/>
          <w:sz w:val="20"/>
          <w:szCs w:val="20"/>
          <w:rtl w:val="0"/>
        </w:rPr>
        <w:t xml:space="preserve">. 1. </w:t>
      </w:r>
      <w:r w:rsidDel="00000000" w:rsidR="00000000" w:rsidRPr="00000000">
        <w:rPr>
          <w:rFonts w:ascii="Arial" w:cs="Arial" w:eastAsia="Arial" w:hAnsi="Arial"/>
          <w:b w:val="1"/>
          <w:sz w:val="20"/>
          <w:szCs w:val="20"/>
          <w:rtl w:val="0"/>
        </w:rPr>
        <w:t xml:space="preserve">O benefício da tramitação preferencial do processo é assegurado a quem comprovar ter mais de 60 (sessenta) anos de idade e deve ser concedido mesmo em caso de litisconsórcio com não idosos.</w:t>
      </w:r>
      <w:r w:rsidDel="00000000" w:rsidR="00000000" w:rsidRPr="00000000">
        <w:rPr>
          <w:rFonts w:ascii="Arial" w:cs="Arial" w:eastAsia="Arial" w:hAnsi="Arial"/>
          <w:sz w:val="20"/>
          <w:szCs w:val="20"/>
          <w:rtl w:val="0"/>
        </w:rPr>
        <w:t xml:space="preserve"> Precedentes da Quarta Turma. 2. Decisão reformada. Agravo de instrumento provido. (TRF-4 - AG: 50109336520184040000 5010933-65.2018.4.04.0000, Relator: CÂNDIDO ALFREDO SILVA LEAL JUNIOR, Data de Julgamento: 04/07/2018, QUARTA TURMA).</w:t>
      </w:r>
    </w:p>
    <w:p w:rsidR="00000000" w:rsidDel="00000000" w:rsidP="00000000" w:rsidRDefault="00000000" w:rsidRPr="00000000" w14:paraId="000000DB">
      <w:pPr>
        <w:spacing w:after="20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C">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Agravo de Instrumento nº 2002637-84.2023.8.26.0000</w:t>
      </w:r>
      <w:r w:rsidDel="00000000" w:rsidR="00000000" w:rsidRPr="00000000">
        <w:rPr>
          <w:rFonts w:ascii="Arial" w:cs="Arial" w:eastAsia="Arial" w:hAnsi="Arial"/>
          <w:sz w:val="20"/>
          <w:szCs w:val="20"/>
          <w:rtl w:val="0"/>
        </w:rPr>
        <w:t xml:space="preserve">, da Comarca de São Paulo, em que são agravantes CELIA MARIA DA SILVA, HERSZ LICHTCAJER, GILBERTO NÓBREGA DA LUZ, FRANCISCO DA SILVA, ESTER GALLI, ELENILDA MOREIRA, DOUGLAS ANTONIO DA SILVA ROSA, IVAN PEDROSO, ANTONIO VALTER PACE, ANTONIO DE OLVEIRA LIMA MACHADO, ANTONIO CARLOS THEODORO, ANA MARIA DE MATOS MELO BORTOLOTI, ALZIRA IDALINA DE OLIVEIRA, ALUIZIO BARBOSA SANDOVAL, ALAENES RODRIGUES LEITE, NILCE DA CONCEIÇÃO, VICENTE FERREIRA DE SOUZA NETO, VALENTIM MAURICIO DA ROCHA, ROSEMEIRE APARECIDA LADEIA, ROBERTO BOCAYUVA, PEDRO ALCIDES BARBATO, OSVALDO FERREIRA DE SOUZA LEITE, JOÃO BATISTA SANT ANA, LUIZ CARLOS FERREIRA, LUIZ CARLOS DE ANDRADE, LUIS ANTONIO DE CAMPOS, LUCIANO FRANCISCO SANTOS, LOURDES REIGOTA, JOSÉ EDUARDO BERNARDO SOARES e AGOSTINHO THOMAZELLA, é agravado ESTADO DE SÃO PAULO. ACORDAM, em sessão permanente e virtual da 11ª Câmara de Direito Público do Tribunal de Justiça de São Paulo, proferir a seguinte decisão: Deram provimento ao recurso. V. U., de conformidade com o voto do relator, que integra este acórdão. O julgamento teve a participação dos Desembargadores RICARDO DIP (Presidente sem voto), JARBAS GOMES E OSCILD DE LIMA JÚNIOR.</w:t>
      </w:r>
    </w:p>
    <w:p w:rsidR="00000000" w:rsidDel="00000000" w:rsidP="00000000" w:rsidRDefault="00000000" w:rsidRPr="00000000" w14:paraId="000000DD">
      <w:pPr>
        <w:spacing w:after="200" w:line="360" w:lineRule="auto"/>
        <w:ind w:firstLine="720"/>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DE">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conformidade com entendimentos doutrinários, passa a seguir:</w:t>
      </w:r>
    </w:p>
    <w:p w:rsidR="00000000" w:rsidDel="00000000" w:rsidP="00000000" w:rsidRDefault="00000000" w:rsidRPr="00000000" w14:paraId="000000DF">
      <w:pPr>
        <w:spacing w:after="200" w:line="36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Segundo o doutrinador Eduardo Arruda Alvim (2019 p. 177),</w:t>
      </w:r>
    </w:p>
    <w:p w:rsidR="00000000" w:rsidDel="00000000" w:rsidP="00000000" w:rsidRDefault="00000000" w:rsidRPr="00000000" w14:paraId="000000E0">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CPC/2015, por sua vez, guarda total harmonia com as reformas do CPC/73, ao estabelecer em seu art. 1.048, I, que pessoa com idade igual ou superior a sessenta anos ou portadora de doença grave terão prioridade na tramitação de todos os atos de diligências em qualquer instância. Para tanto, bastará à pessoa interessada que requeira tal benefício à autoridade judiciária incumbida de decidir o feito, juntando prova de sua condição (art. 1.048, § 1o). Deferida a prioridade, os autos receberão identificação própria que evidencie o regime de tramitação prioritária (art. 1.048, § 2o). Além disso, a prioridade, uma vez concedida, não cessará com a morte do beneficiário, mas estender-se-á em favor do cônjuge supérstite, companheiro ou companheira, com união estável, segundo prescreve o art. 1.048, § 3o.</w:t>
      </w:r>
    </w:p>
    <w:p w:rsidR="00000000" w:rsidDel="00000000" w:rsidP="00000000" w:rsidRDefault="00000000" w:rsidRPr="00000000" w14:paraId="000000E1">
      <w:pP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2">
      <w:pPr>
        <w:spacing w:after="0" w:line="240" w:lineRule="auto"/>
        <w:ind w:left="2268" w:hanging="1417"/>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3">
      <w:pPr>
        <w:spacing w:after="200" w:line="360" w:lineRule="auto"/>
        <w:ind w:hanging="1417"/>
        <w:jc w:val="both"/>
        <w:rPr>
          <w:rFonts w:ascii="Arial" w:cs="Arial" w:eastAsia="Arial" w:hAnsi="Arial"/>
          <w:sz w:val="24"/>
          <w:szCs w:val="24"/>
        </w:rPr>
      </w:pPr>
      <w:r w:rsidDel="00000000" w:rsidR="00000000" w:rsidRPr="00000000">
        <w:rPr>
          <w:rFonts w:ascii="Arial" w:cs="Arial" w:eastAsia="Arial" w:hAnsi="Arial"/>
          <w:sz w:val="20"/>
          <w:szCs w:val="20"/>
          <w:rtl w:val="0"/>
        </w:rPr>
        <w:tab/>
      </w:r>
      <w:r w:rsidDel="00000000" w:rsidR="00000000" w:rsidRPr="00000000">
        <w:rPr>
          <w:rFonts w:ascii="Arial" w:cs="Arial" w:eastAsia="Arial" w:hAnsi="Arial"/>
          <w:sz w:val="24"/>
          <w:szCs w:val="24"/>
          <w:rtl w:val="0"/>
        </w:rPr>
        <w:t xml:space="preserve">Conforme a doutrinadora Pérola Melissa Vianna Braga (2011 p. 77),</w:t>
      </w:r>
    </w:p>
    <w:p w:rsidR="00000000" w:rsidDel="00000000" w:rsidP="00000000" w:rsidRDefault="00000000" w:rsidRPr="00000000" w14:paraId="000000E4">
      <w:pP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existem dois componentes relevantes no acesso à justiça pelos idosos: a prioridade de tramitação processual (garantida pelo artigo 71 do Estatuto do Idoso e artigo 1.211 do Código de Processo Civil), que deve ser requerida e que não acontece sem iniciativa do interessado, e a ampliação da atuação do Ministério Público, que, a partir do Estatuto do Idoso, passou a defender também os interesses individuais indisponíveis ou homogêneos dos idosos, além da atuação, já existente, na defesa dos interesses difusos e coletivos.</w:t>
        <w:br w:type="textWrapping"/>
      </w:r>
      <w:r w:rsidDel="00000000" w:rsidR="00000000" w:rsidRPr="00000000">
        <w:rPr>
          <w:rFonts w:ascii="Arial" w:cs="Arial" w:eastAsia="Arial" w:hAnsi="Arial"/>
          <w:rtl w:val="0"/>
        </w:rPr>
        <w:t xml:space="preserve"> </w:t>
      </w:r>
      <w:r w:rsidDel="00000000" w:rsidR="00000000" w:rsidRPr="00000000">
        <w:rPr>
          <w:rtl w:val="0"/>
        </w:rPr>
      </w:r>
    </w:p>
    <w:p w:rsidR="00000000" w:rsidDel="00000000" w:rsidP="00000000" w:rsidRDefault="00000000" w:rsidRPr="00000000" w14:paraId="000000E5">
      <w:pPr>
        <w:shd w:fill="ffffff" w:val="clear"/>
        <w:spacing w:after="200" w:line="360" w:lineRule="auto"/>
        <w:ind w:firstLine="567"/>
        <w:jc w:val="both"/>
        <w:rPr>
          <w:rFonts w:ascii="Arial" w:cs="Arial" w:eastAsia="Arial" w:hAnsi="Arial"/>
          <w:color w:val="000000"/>
          <w:sz w:val="24"/>
          <w:szCs w:val="24"/>
        </w:rPr>
      </w:pPr>
      <w:sdt>
        <w:sdtPr>
          <w:tag w:val="goog_rdk_5"/>
        </w:sdtPr>
        <w:sdtContent>
          <w:commentRangeStart w:id="5"/>
        </w:sdtContent>
      </w:sdt>
      <w:r w:rsidDel="00000000" w:rsidR="00000000" w:rsidRPr="00000000">
        <w:rPr>
          <w:rFonts w:ascii="Arial" w:cs="Arial" w:eastAsia="Arial" w:hAnsi="Arial"/>
          <w:color w:val="000000"/>
          <w:sz w:val="24"/>
          <w:szCs w:val="24"/>
          <w:rtl w:val="0"/>
        </w:rPr>
        <w:t xml:space="preserve">Além disso, é de suma importância ressaltar que em casos como este por se tratar de relação de consumo a pessoa idosa é considerada vulnerável, podendo inclusive haver a inversão do ônus da prova, conforme previsto no Código de Defesa do Consumidor.</w:t>
      </w:r>
      <w:commentRangeEnd w:id="5"/>
      <w:r w:rsidDel="00000000" w:rsidR="00000000" w:rsidRPr="00000000">
        <w:commentReference w:id="5"/>
      </w:r>
      <w:r w:rsidDel="00000000" w:rsidR="00000000" w:rsidRPr="00000000">
        <w:rPr>
          <w:rFonts w:ascii="Arial" w:cs="Arial" w:eastAsia="Arial" w:hAnsi="Arial"/>
          <w:color w:val="000000"/>
          <w:sz w:val="24"/>
          <w:szCs w:val="24"/>
          <w:rtl w:val="0"/>
        </w:rPr>
        <w:t xml:space="preserve"> </w:t>
      </w:r>
    </w:p>
    <w:p w:rsidR="00000000" w:rsidDel="00000000" w:rsidP="00000000" w:rsidRDefault="00000000" w:rsidRPr="00000000" w14:paraId="000000E6">
      <w:pPr>
        <w:shd w:fill="ffffff" w:val="clea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Do ponto de vista de tal realidade, bem como, de manifesta vulnerabilidade e hipossuficiência técnica da consumidora, competia à requerida a comprovação de como teriam se dado as tratativas entre as partes.</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ffffff" w:val="clear"/>
        <w:spacing w:after="420" w:before="0" w:line="240" w:lineRule="auto"/>
        <w:ind w:left="0" w:right="0" w:firstLine="567"/>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inciso LXXVIII do artigo 5º, promulgado pela Constituição Federal de 1988, define que:</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Art.5 LXXVIII </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a todos, no âmbito judicial e administrativo, são assegurados a razoável duração do processo e os meios que garantam a celeridade de sua tramitação”.</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2268" w:right="0" w:firstLine="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EA">
      <w:pPr>
        <w:shd w:fill="ffffff" w:val="clea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Sendo assim, é direito de todos os cidadãos a razoável duração do processo e a celeridade de sua tramitação, ou seja, de forma que possa agilizar o processo em julgamento.</w:t>
      </w:r>
    </w:p>
    <w:p w:rsidR="00000000" w:rsidDel="00000000" w:rsidP="00000000" w:rsidRDefault="00000000" w:rsidRPr="00000000" w14:paraId="000000EB">
      <w:pPr>
        <w:shd w:fill="ffffff" w:val="clear"/>
        <w:spacing w:after="200" w:line="36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além de ser direito de todos os brasileiros, é um benefício necessário do idoso, como prevê o Estatuto Da Pessoa Idosa.</w:t>
      </w:r>
    </w:p>
    <w:p w:rsidR="00000000" w:rsidDel="00000000" w:rsidP="00000000" w:rsidRDefault="00000000" w:rsidRPr="00000000" w14:paraId="000000EC">
      <w:pPr>
        <w:spacing w:after="200" w:line="360" w:lineRule="auto"/>
        <w:ind w:firstLine="567"/>
        <w:jc w:val="both"/>
        <w:rPr>
          <w:rFonts w:ascii="Arial" w:cs="Arial" w:eastAsia="Arial" w:hAnsi="Arial"/>
          <w:sz w:val="24"/>
          <w:szCs w:val="24"/>
        </w:rPr>
      </w:pPr>
      <w:sdt>
        <w:sdtPr>
          <w:tag w:val="goog_rdk_6"/>
        </w:sdtPr>
        <w:sdtContent>
          <w:commentRangeStart w:id="6"/>
        </w:sdtContent>
      </w:sdt>
      <w:r w:rsidDel="00000000" w:rsidR="00000000" w:rsidRPr="00000000">
        <w:rPr>
          <w:rFonts w:ascii="Arial" w:cs="Arial" w:eastAsia="Arial" w:hAnsi="Arial"/>
          <w:sz w:val="24"/>
          <w:szCs w:val="24"/>
          <w:rtl w:val="0"/>
        </w:rPr>
        <w:t xml:space="preserve">Conforme narrado no presente caso, o casal não se intimidou e apresentou uma reconvenção exigindo a entrega dos móveis, portanto, concluímos que em caso de prosseguimento, o processo terá tramitação prioritária, mesmo considerando que “Alessandra” ainda não é pessoa idosa, a existência de litisconsortes com menos de 60 anos não obsta a tramitação prioritária do feito, nem impõe o desmembramento da demanda para a concessão do benefício da prioridade na tramitação do processo.</w:t>
      </w:r>
      <w:commentRangeEnd w:id="6"/>
      <w:r w:rsidDel="00000000" w:rsidR="00000000" w:rsidRPr="00000000">
        <w:commentReference w:id="6"/>
      </w:r>
      <w:r w:rsidDel="00000000" w:rsidR="00000000" w:rsidRPr="00000000">
        <w:rPr>
          <w:rtl w:val="0"/>
        </w:rPr>
      </w:r>
    </w:p>
    <w:p w:rsidR="00000000" w:rsidDel="00000000" w:rsidP="00000000" w:rsidRDefault="00000000" w:rsidRPr="00000000" w14:paraId="000000ED">
      <w:pPr>
        <w:spacing w:line="240" w:lineRule="auto"/>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0EE">
      <w:pPr>
        <w:spacing w:line="240" w:lineRule="auto"/>
        <w:rPr>
          <w:rFonts w:ascii="Arial" w:cs="Arial" w:eastAsia="Arial" w:hAnsi="Arial"/>
          <w:b w:val="1"/>
          <w:sz w:val="24"/>
          <w:szCs w:val="24"/>
        </w:rPr>
      </w:pPr>
      <w:sdt>
        <w:sdtPr>
          <w:tag w:val="goog_rdk_7"/>
        </w:sdtPr>
        <w:sdtContent>
          <w:commentRangeStart w:id="7"/>
        </w:sdtContent>
      </w:sdt>
      <w:r w:rsidDel="00000000" w:rsidR="00000000" w:rsidRPr="00000000">
        <w:rPr>
          <w:rFonts w:ascii="Arial" w:cs="Arial" w:eastAsia="Arial" w:hAnsi="Arial"/>
          <w:b w:val="1"/>
          <w:sz w:val="24"/>
          <w:szCs w:val="24"/>
          <w:rtl w:val="0"/>
        </w:rPr>
        <w:t xml:space="preserve">2.1 DO DIREITO</w:t>
      </w:r>
      <w:commentRangeEnd w:id="7"/>
      <w:r w:rsidDel="00000000" w:rsidR="00000000" w:rsidRPr="00000000">
        <w:commentReference w:id="7"/>
      </w:r>
      <w:r w:rsidDel="00000000" w:rsidR="00000000" w:rsidRPr="00000000">
        <w:rPr>
          <w:rFonts w:ascii="Arial" w:cs="Arial" w:eastAsia="Arial" w:hAnsi="Arial"/>
          <w:b w:val="1"/>
          <w:sz w:val="24"/>
          <w:szCs w:val="24"/>
          <w:rtl w:val="0"/>
        </w:rPr>
        <w:t xml:space="preserve"> DOS ADQUIRENTES ALESSANDRA E ABÍLIO E DOS OUTROS COMPRADORES DE RECEBER MÓVEIS PLANEJADOS</w:t>
      </w:r>
    </w:p>
    <w:p w:rsidR="00000000" w:rsidDel="00000000" w:rsidP="00000000" w:rsidRDefault="00000000" w:rsidRPr="00000000" w14:paraId="000000EF">
      <w:pPr>
        <w:spacing w:line="240" w:lineRule="auto"/>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0">
      <w:pPr>
        <w:spacing w:line="24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consulente questiona se os adquirentes da unidade 75 têm direito ao recebimento dos móveis planejados da cozinha, que estavam instalados durante o vídeo publicitário da influenciadora Mari. Para responder tal questionamento é necessário estabelecer o que é </w:t>
      </w:r>
      <w:r w:rsidDel="00000000" w:rsidR="00000000" w:rsidRPr="00000000">
        <w:rPr>
          <w:rFonts w:ascii="Arial" w:cs="Arial" w:eastAsia="Arial" w:hAnsi="Arial"/>
          <w:b w:val="1"/>
          <w:sz w:val="24"/>
          <w:szCs w:val="24"/>
          <w:rtl w:val="0"/>
        </w:rPr>
        <w:t xml:space="preserve">bem principal</w:t>
      </w:r>
      <w:r w:rsidDel="00000000" w:rsidR="00000000" w:rsidRPr="00000000">
        <w:rPr>
          <w:rFonts w:ascii="Arial" w:cs="Arial" w:eastAsia="Arial" w:hAnsi="Arial"/>
          <w:sz w:val="24"/>
          <w:szCs w:val="24"/>
          <w:rtl w:val="0"/>
        </w:rPr>
        <w:t xml:space="preserve"> e </w:t>
      </w:r>
      <w:r w:rsidDel="00000000" w:rsidR="00000000" w:rsidRPr="00000000">
        <w:rPr>
          <w:rFonts w:ascii="Arial" w:cs="Arial" w:eastAsia="Arial" w:hAnsi="Arial"/>
          <w:b w:val="1"/>
          <w:sz w:val="24"/>
          <w:szCs w:val="24"/>
          <w:rtl w:val="0"/>
        </w:rPr>
        <w:t xml:space="preserve">acessório</w:t>
      </w:r>
      <w:r w:rsidDel="00000000" w:rsidR="00000000" w:rsidRPr="00000000">
        <w:rPr>
          <w:rFonts w:ascii="Arial" w:cs="Arial" w:eastAsia="Arial" w:hAnsi="Arial"/>
          <w:sz w:val="24"/>
          <w:szCs w:val="24"/>
          <w:rtl w:val="0"/>
        </w:rPr>
        <w:t xml:space="preserve">:</w:t>
      </w:r>
    </w:p>
    <w:p w:rsidR="00000000" w:rsidDel="00000000" w:rsidP="00000000" w:rsidRDefault="00000000" w:rsidRPr="00000000" w14:paraId="000000F1">
      <w:pPr>
        <w:spacing w:after="0" w:line="240" w:lineRule="auto"/>
        <w:ind w:left="2268" w:firstLine="0"/>
        <w:jc w:val="both"/>
        <w:rPr>
          <w:color w:val="000000"/>
          <w:sz w:val="20"/>
          <w:szCs w:val="20"/>
          <w:highlight w:val="white"/>
        </w:rPr>
      </w:pPr>
      <w:r w:rsidDel="00000000" w:rsidR="00000000" w:rsidRPr="00000000">
        <w:rPr>
          <w:rFonts w:ascii="Arial" w:cs="Arial" w:eastAsia="Arial" w:hAnsi="Arial"/>
          <w:b w:val="1"/>
          <w:i w:val="1"/>
          <w:color w:val="000000"/>
          <w:sz w:val="20"/>
          <w:szCs w:val="20"/>
          <w:highlight w:val="white"/>
          <w:rtl w:val="0"/>
        </w:rPr>
        <w:t xml:space="preserve">Art. 92</w:t>
      </w:r>
      <w:r w:rsidDel="00000000" w:rsidR="00000000" w:rsidRPr="00000000">
        <w:rPr>
          <w:rFonts w:ascii="Arial" w:cs="Arial" w:eastAsia="Arial" w:hAnsi="Arial"/>
          <w:b w:val="1"/>
          <w:color w:val="000000"/>
          <w:sz w:val="20"/>
          <w:szCs w:val="20"/>
          <w:highlight w:val="white"/>
          <w:rtl w:val="0"/>
        </w:rPr>
        <w:t xml:space="preserve">.</w:t>
      </w:r>
      <w:r w:rsidDel="00000000" w:rsidR="00000000" w:rsidRPr="00000000">
        <w:rPr>
          <w:rFonts w:ascii="Arial" w:cs="Arial" w:eastAsia="Arial" w:hAnsi="Arial"/>
          <w:color w:val="000000"/>
          <w:sz w:val="20"/>
          <w:szCs w:val="20"/>
          <w:highlight w:val="white"/>
          <w:rtl w:val="0"/>
        </w:rPr>
        <w:t xml:space="preserve"> Principal é o bem que existe sobre si, abstrata ou concretamente; acessório, aquele cuja existência supõe a do principal</w:t>
      </w:r>
      <w:r w:rsidDel="00000000" w:rsidR="00000000" w:rsidRPr="00000000">
        <w:rPr>
          <w:color w:val="000000"/>
          <w:sz w:val="20"/>
          <w:szCs w:val="20"/>
          <w:highlight w:val="white"/>
          <w:rtl w:val="0"/>
        </w:rPr>
        <w:t xml:space="preserve">.</w:t>
      </w:r>
    </w:p>
    <w:p w:rsidR="00000000" w:rsidDel="00000000" w:rsidP="00000000" w:rsidRDefault="00000000" w:rsidRPr="00000000" w14:paraId="000000F2">
      <w:pPr>
        <w:spacing w:line="240" w:lineRule="auto"/>
        <w:jc w:val="both"/>
        <w:rPr>
          <w:rFonts w:ascii="Arial" w:cs="Arial" w:eastAsia="Arial" w:hAnsi="Arial"/>
          <w:b w:val="1"/>
          <w:i w:val="1"/>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Em sintonia com o artigo supramencionado, a opinião de Donizetti</w:t>
      </w:r>
      <w:r w:rsidDel="00000000" w:rsidR="00000000" w:rsidRPr="00000000">
        <w:rPr>
          <w:rFonts w:ascii="Arial" w:cs="Arial" w:eastAsia="Arial" w:hAnsi="Arial"/>
          <w:color w:val="1c1c1c"/>
          <w:sz w:val="24"/>
          <w:szCs w:val="24"/>
          <w:highlight w:val="white"/>
          <w:rtl w:val="0"/>
        </w:rPr>
        <w:t xml:space="preserve">, Elpídio</w:t>
      </w:r>
      <w:r w:rsidDel="00000000" w:rsidR="00000000" w:rsidRPr="00000000">
        <w:rPr>
          <w:rFonts w:ascii="Roboto" w:cs="Roboto" w:eastAsia="Roboto" w:hAnsi="Roboto"/>
          <w:color w:val="1c1c1c"/>
          <w:highlight w:val="white"/>
          <w:rtl w:val="0"/>
        </w:rPr>
        <w:t xml:space="preserve">,.</w:t>
      </w:r>
      <w:r w:rsidDel="00000000" w:rsidR="00000000" w:rsidRPr="00000000">
        <w:rPr>
          <w:rFonts w:ascii="Arial" w:cs="Arial" w:eastAsia="Arial" w:hAnsi="Arial"/>
          <w:i w:val="0"/>
          <w:color w:val="1c1c1c"/>
          <w:sz w:val="24"/>
          <w:szCs w:val="24"/>
          <w:highlight w:val="white"/>
          <w:rtl w:val="0"/>
        </w:rPr>
        <w:t xml:space="preserve">Curso de Direito Civil (2023, p.109): </w:t>
      </w:r>
      <w:r w:rsidDel="00000000" w:rsidR="00000000" w:rsidRPr="00000000">
        <w:rPr>
          <w:rtl w:val="0"/>
        </w:rPr>
      </w:r>
    </w:p>
    <w:p w:rsidR="00000000" w:rsidDel="00000000" w:rsidP="00000000" w:rsidRDefault="00000000" w:rsidRPr="00000000" w14:paraId="000000F3">
      <w:pPr>
        <w:spacing w:after="0" w:line="240" w:lineRule="auto"/>
        <w:ind w:left="2268" w:hanging="2126"/>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                                </w:t>
      </w:r>
      <w:sdt>
        <w:sdtPr>
          <w:tag w:val="goog_rdk_8"/>
        </w:sdtPr>
        <w:sdtContent>
          <w:commentRangeStart w:id="8"/>
        </w:sdtContent>
      </w:sdt>
      <w:r w:rsidDel="00000000" w:rsidR="00000000" w:rsidRPr="00000000">
        <w:rPr>
          <w:rFonts w:ascii="Arial" w:cs="Arial" w:eastAsia="Arial" w:hAnsi="Arial"/>
          <w:sz w:val="20"/>
          <w:szCs w:val="20"/>
          <w:rtl w:val="0"/>
        </w:rPr>
        <w:t xml:space="preserve">Fala-se</w:t>
      </w:r>
      <w:commentRangeEnd w:id="8"/>
      <w:r w:rsidDel="00000000" w:rsidR="00000000" w:rsidRPr="00000000">
        <w:commentReference w:id="8"/>
      </w:r>
      <w:r w:rsidDel="00000000" w:rsidR="00000000" w:rsidRPr="00000000">
        <w:rPr>
          <w:rFonts w:ascii="Arial" w:cs="Arial" w:eastAsia="Arial" w:hAnsi="Arial"/>
          <w:sz w:val="20"/>
          <w:szCs w:val="20"/>
          <w:rtl w:val="0"/>
        </w:rPr>
        <w:t xml:space="preserve"> em bem principal para se referir àquele que tem existência autônoma. Nos termos da primeira parte do art. 92 do Código, é o que “existe sobre si, abstrata ou concretamente”. Bem acessório, por sua vez, é aquele cuja existência depende de um bem principal, sem o qual não existe (art. 92, segunda parte). Quanto à relação entre o bem principal e o bem acessório, vale a máxima accessorium sequitur principale, ou seja, o acessório segue o principal. Uma cadeira é um bem principal, pois tem existência autônoma. O assento da cadeira, por sua vez, para ser assento, depende da existência da cadeira, razão pela qual é bem acessório dela. [...] Em razão de o acessório seguir o principal – princípio da gravitação jurídica, como diz a doutrina, se alguém doa a cadeira, doa também o assento, ainda que não mencione o fato expressamente. </w:t>
      </w:r>
    </w:p>
    <w:p w:rsidR="00000000" w:rsidDel="00000000" w:rsidP="00000000" w:rsidRDefault="00000000" w:rsidRPr="00000000" w14:paraId="000000F4">
      <w:pPr>
        <w:spacing w:line="240" w:lineRule="auto"/>
        <w:ind w:firstLine="141"/>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0F5">
      <w:pPr>
        <w:spacing w:line="24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Ao determinar-se o que é o bem principal e acessório deve-se ainda compreender mais um conceito: </w:t>
      </w:r>
      <w:r w:rsidDel="00000000" w:rsidR="00000000" w:rsidRPr="00000000">
        <w:rPr>
          <w:rFonts w:ascii="Arial" w:cs="Arial" w:eastAsia="Arial" w:hAnsi="Arial"/>
          <w:b w:val="1"/>
          <w:sz w:val="24"/>
          <w:szCs w:val="24"/>
          <w:rtl w:val="0"/>
        </w:rPr>
        <w:t xml:space="preserve">pertenças</w:t>
      </w:r>
      <w:r w:rsidDel="00000000" w:rsidR="00000000" w:rsidRPr="00000000">
        <w:rPr>
          <w:rFonts w:ascii="Arial" w:cs="Arial" w:eastAsia="Arial" w:hAnsi="Arial"/>
          <w:sz w:val="24"/>
          <w:szCs w:val="24"/>
          <w:rtl w:val="0"/>
        </w:rPr>
        <w:t xml:space="preserve"> que, segundo Stolze, são “coisas acessórias destinadas a conservar ou facilitar o uso das coisas principais, sem que destas sejam parte integrante”. Tal categoria está expressamente demonstrada no artigo 93, do Código Civil: </w:t>
      </w:r>
    </w:p>
    <w:p w:rsidR="00000000" w:rsidDel="00000000" w:rsidP="00000000" w:rsidRDefault="00000000" w:rsidRPr="00000000" w14:paraId="000000F6">
      <w:pPr>
        <w:spacing w:after="0" w:line="240" w:lineRule="auto"/>
        <w:ind w:left="2268" w:firstLine="0"/>
        <w:jc w:val="both"/>
        <w:rPr>
          <w:rFonts w:ascii="Arial" w:cs="Arial" w:eastAsia="Arial" w:hAnsi="Arial"/>
          <w:b w:val="1"/>
          <w:i w:val="1"/>
          <w:sz w:val="20"/>
          <w:szCs w:val="20"/>
          <w:highlight w:val="white"/>
        </w:rPr>
      </w:pPr>
      <w:r w:rsidDel="00000000" w:rsidR="00000000" w:rsidRPr="00000000">
        <w:rPr>
          <w:rtl w:val="0"/>
        </w:rPr>
      </w:r>
    </w:p>
    <w:p w:rsidR="00000000" w:rsidDel="00000000" w:rsidP="00000000" w:rsidRDefault="00000000" w:rsidRPr="00000000" w14:paraId="000000F7">
      <w:pPr>
        <w:spacing w:after="0" w:line="240" w:lineRule="auto"/>
        <w:ind w:left="2268" w:firstLine="0"/>
        <w:jc w:val="both"/>
        <w:rPr>
          <w:rFonts w:ascii="Arial" w:cs="Arial" w:eastAsia="Arial" w:hAnsi="Arial"/>
          <w:sz w:val="20"/>
          <w:szCs w:val="20"/>
          <w:highlight w:val="white"/>
        </w:rPr>
      </w:pPr>
      <w:r w:rsidDel="00000000" w:rsidR="00000000" w:rsidRPr="00000000">
        <w:rPr>
          <w:rFonts w:ascii="Arial" w:cs="Arial" w:eastAsia="Arial" w:hAnsi="Arial"/>
          <w:b w:val="1"/>
          <w:i w:val="1"/>
          <w:sz w:val="20"/>
          <w:szCs w:val="20"/>
          <w:highlight w:val="white"/>
          <w:rtl w:val="0"/>
        </w:rPr>
        <w:t xml:space="preserve">Art. 93.</w:t>
      </w:r>
      <w:r w:rsidDel="00000000" w:rsidR="00000000" w:rsidRPr="00000000">
        <w:rPr>
          <w:rFonts w:ascii="Arial" w:cs="Arial" w:eastAsia="Arial" w:hAnsi="Arial"/>
          <w:i w:val="1"/>
          <w:sz w:val="20"/>
          <w:szCs w:val="20"/>
          <w:highlight w:val="white"/>
          <w:rtl w:val="0"/>
        </w:rPr>
        <w:t xml:space="preserve"> </w:t>
      </w:r>
      <w:r w:rsidDel="00000000" w:rsidR="00000000" w:rsidRPr="00000000">
        <w:rPr>
          <w:rFonts w:ascii="Arial" w:cs="Arial" w:eastAsia="Arial" w:hAnsi="Arial"/>
          <w:sz w:val="20"/>
          <w:szCs w:val="20"/>
          <w:highlight w:val="white"/>
          <w:rtl w:val="0"/>
        </w:rPr>
        <w:t xml:space="preserve">São pertenças os bens que, não constituindo partes integrantes, se destinam, de modo duradouro, ao uso, ao serviço ou ao aformoseamento de outro.</w:t>
      </w:r>
    </w:p>
    <w:p w:rsidR="00000000" w:rsidDel="00000000" w:rsidP="00000000" w:rsidRDefault="00000000" w:rsidRPr="00000000" w14:paraId="000000F8">
      <w:pPr>
        <w:spacing w:after="0" w:line="240" w:lineRule="auto"/>
        <w:ind w:left="2268"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F9">
      <w:pPr>
        <w:spacing w:after="0" w:line="240" w:lineRule="auto"/>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0FA">
      <w:pPr>
        <w:spacing w:after="0" w:line="240" w:lineRule="auto"/>
        <w:jc w:val="both"/>
        <w:rPr>
          <w:rFonts w:ascii="Arial" w:cs="Arial" w:eastAsia="Arial" w:hAnsi="Arial"/>
          <w:i w:val="0"/>
          <w:color w:val="1c1c1c"/>
          <w:sz w:val="24"/>
          <w:szCs w:val="24"/>
          <w:highlight w:val="white"/>
        </w:rPr>
      </w:pPr>
      <w:r w:rsidDel="00000000" w:rsidR="00000000" w:rsidRPr="00000000">
        <w:rPr>
          <w:rFonts w:ascii="Arial" w:cs="Arial" w:eastAsia="Arial" w:hAnsi="Arial"/>
          <w:sz w:val="24"/>
          <w:szCs w:val="24"/>
          <w:highlight w:val="white"/>
          <w:rtl w:val="0"/>
        </w:rPr>
        <w:t xml:space="preserve">Assim também resta claro na opinião de Oliveira, Carlos E. Elias et al. </w:t>
      </w:r>
      <w:r w:rsidDel="00000000" w:rsidR="00000000" w:rsidRPr="00000000">
        <w:rPr>
          <w:rFonts w:ascii="Arial" w:cs="Arial" w:eastAsia="Arial" w:hAnsi="Arial"/>
          <w:color w:val="1c1c1c"/>
          <w:sz w:val="24"/>
          <w:szCs w:val="24"/>
          <w:highlight w:val="white"/>
          <w:rtl w:val="0"/>
        </w:rPr>
        <w:t xml:space="preserve"> </w:t>
      </w:r>
      <w:r w:rsidDel="00000000" w:rsidR="00000000" w:rsidRPr="00000000">
        <w:rPr>
          <w:rFonts w:ascii="Arial" w:cs="Arial" w:eastAsia="Arial" w:hAnsi="Arial"/>
          <w:i w:val="0"/>
          <w:color w:val="1c1c1c"/>
          <w:sz w:val="24"/>
          <w:szCs w:val="24"/>
          <w:highlight w:val="white"/>
          <w:rtl w:val="0"/>
        </w:rPr>
        <w:t xml:space="preserve">Direito Civil - Vol. (2024, p. 250): </w:t>
      </w:r>
    </w:p>
    <w:p w:rsidR="00000000" w:rsidDel="00000000" w:rsidP="00000000" w:rsidRDefault="00000000" w:rsidRPr="00000000" w14:paraId="000000FB">
      <w:pPr>
        <w:spacing w:after="0" w:line="240" w:lineRule="auto"/>
        <w:ind w:left="2268" w:firstLine="0"/>
        <w:jc w:val="both"/>
        <w:rPr>
          <w:rFonts w:ascii="Roboto" w:cs="Roboto" w:eastAsia="Roboto" w:hAnsi="Roboto"/>
          <w:sz w:val="21"/>
          <w:szCs w:val="21"/>
          <w:highlight w:val="white"/>
        </w:rPr>
      </w:pP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As pertenças são bens que, embora possuam uma autonomia funcional e não sejam agregados à estrutura do bem principal (não há aderência material), destinam-se, de modo duradouro, a este. Trata-se de “coisas ajudantes”, que, apesar de sua autonomia e individualidade, são utilizadas para aumentar a utilidade do bem principal, ou seja, para atender à finalidade econômico-social deste.</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268"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Pertença etimologicamente significa “pertencer a”: no direito, pertença é o bem que passa a “pertencer” a uma coisa principal por vontade do titular. Embora haja quem o enquadre como bens acessórios, a exemplo de Francisco Amaral (2014, p. 397) e Sílvio de Salvo Venosa (2011, p. 316), ou como um bem acessório sui generis, como Maria Helena Diniz (2012, p. 389)</w:t>
      </w:r>
      <w:hyperlink r:id="rId13">
        <w:r w:rsidDel="00000000" w:rsidR="00000000" w:rsidRPr="00000000">
          <w:rPr>
            <w:rFonts w:ascii="Arial" w:cs="Arial" w:eastAsia="Arial" w:hAnsi="Arial"/>
            <w:b w:val="0"/>
            <w:i w:val="0"/>
            <w:smallCaps w:val="0"/>
            <w:strike w:val="0"/>
            <w:color w:val="0000ff"/>
            <w:sz w:val="20"/>
            <w:szCs w:val="20"/>
            <w:u w:val="single"/>
            <w:shd w:fill="auto" w:val="clear"/>
            <w:vertAlign w:val="superscript"/>
            <w:rtl w:val="0"/>
          </w:rPr>
          <w:t xml:space="preserve">119</w:t>
        </w:r>
      </w:hyperlink>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o regime jurídico peculiar desses bens recomenda-lhes considerar uma terceira categoria, a de pertenças, que guarda um vínculo de secundariedade – e não de acessoriedade – em relação ao bem principal. Diz-se vínculo de secundariedade, em razão de a pertença guardar certa independência jurídica do principal: ela não segue a sorte do principal em regra, salvo lei, circunstâncias ou vontade. [...] As pertenças servem ao bem principal em razão da vontade de seu titular; [...] As pertenças não se confundem com a parte integrante, pois são úteis funcionalmente longe do bem principal. </w:t>
      </w:r>
    </w:p>
    <w:p w:rsidR="00000000" w:rsidDel="00000000" w:rsidP="00000000" w:rsidRDefault="00000000" w:rsidRPr="00000000" w14:paraId="000000FE">
      <w:pPr>
        <w:spacing w:after="0" w:line="240" w:lineRule="auto"/>
        <w:ind w:left="2268" w:firstLine="0"/>
        <w:jc w:val="both"/>
        <w:rPr>
          <w:rFonts w:ascii="Arial" w:cs="Arial" w:eastAsia="Arial" w:hAnsi="Arial"/>
          <w:sz w:val="20"/>
          <w:szCs w:val="20"/>
          <w:highlight w:val="white"/>
        </w:rPr>
      </w:pPr>
      <w:r w:rsidDel="00000000" w:rsidR="00000000" w:rsidRPr="00000000">
        <w:rPr>
          <w:rtl w:val="0"/>
        </w:rPr>
      </w:r>
    </w:p>
    <w:p w:rsidR="00000000" w:rsidDel="00000000" w:rsidP="00000000" w:rsidRDefault="00000000" w:rsidRPr="00000000" w14:paraId="000000FF">
      <w:pPr>
        <w:spacing w:after="0" w:line="240" w:lineRule="auto"/>
        <w:ind w:firstLine="567"/>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100">
      <w:pPr>
        <w:spacing w:after="0" w:line="240" w:lineRule="auto"/>
        <w:ind w:firstLine="567"/>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Agora que conhecemos os conceitos podemos determinar que a unidade 75, adquirida por Alessandra e Abílio, é o bem principal e os móveis e eletrodomésticos suas pertenças. Quando os adquirentes celebram o contrato de compra e venda com a Habite Construção e Acabamentos LTDA, nele consta de forma expressa que a aquisição da unidade em questão correspondia apenas ao bem principal, sem haver nenhuma menção às suas pertenças. Nesse sentido o artigo 94, do Código Civil, diz que para que as pertenças acompanhem o bem principal deve haver manifestação de vontade entre as partes: </w:t>
      </w:r>
    </w:p>
    <w:p w:rsidR="00000000" w:rsidDel="00000000" w:rsidP="00000000" w:rsidRDefault="00000000" w:rsidRPr="00000000" w14:paraId="00000101">
      <w:pPr>
        <w:spacing w:after="0" w:line="240" w:lineRule="auto"/>
        <w:ind w:left="2268" w:firstLine="0"/>
        <w:jc w:val="both"/>
        <w:rPr>
          <w:rFonts w:ascii="Arial" w:cs="Arial" w:eastAsia="Arial" w:hAnsi="Arial"/>
          <w:b w:val="1"/>
          <w:i w:val="1"/>
          <w:color w:val="000000"/>
          <w:sz w:val="20"/>
          <w:szCs w:val="20"/>
          <w:highlight w:val="white"/>
        </w:rPr>
      </w:pPr>
      <w:r w:rsidDel="00000000" w:rsidR="00000000" w:rsidRPr="00000000">
        <w:rPr>
          <w:rtl w:val="0"/>
        </w:rPr>
      </w:r>
    </w:p>
    <w:p w:rsidR="00000000" w:rsidDel="00000000" w:rsidP="00000000" w:rsidRDefault="00000000" w:rsidRPr="00000000" w14:paraId="00000102">
      <w:pPr>
        <w:spacing w:after="0" w:line="240" w:lineRule="auto"/>
        <w:ind w:left="2268" w:firstLine="0"/>
        <w:jc w:val="both"/>
        <w:rPr>
          <w:rFonts w:ascii="Arial" w:cs="Arial" w:eastAsia="Arial" w:hAnsi="Arial"/>
          <w:color w:val="000000"/>
          <w:sz w:val="20"/>
          <w:szCs w:val="20"/>
          <w:highlight w:val="white"/>
        </w:rPr>
      </w:pPr>
      <w:r w:rsidDel="00000000" w:rsidR="00000000" w:rsidRPr="00000000">
        <w:rPr>
          <w:rFonts w:ascii="Arial" w:cs="Arial" w:eastAsia="Arial" w:hAnsi="Arial"/>
          <w:b w:val="1"/>
          <w:color w:val="000000"/>
          <w:sz w:val="20"/>
          <w:szCs w:val="20"/>
          <w:highlight w:val="white"/>
          <w:rtl w:val="0"/>
        </w:rPr>
        <w:t xml:space="preserve">Art. 94.</w:t>
      </w:r>
      <w:r w:rsidDel="00000000" w:rsidR="00000000" w:rsidRPr="00000000">
        <w:rPr>
          <w:rFonts w:ascii="Arial" w:cs="Arial" w:eastAsia="Arial" w:hAnsi="Arial"/>
          <w:color w:val="000000"/>
          <w:sz w:val="20"/>
          <w:szCs w:val="20"/>
          <w:highlight w:val="white"/>
          <w:rtl w:val="0"/>
        </w:rPr>
        <w:t xml:space="preserve"> Os negócios jurídicos que dizem respeito ao bem principal não abrangem as pertenças, salvo se o contrário resultar da lei, da manifestação de vontade, ou das circunstâncias do caso.</w:t>
      </w:r>
    </w:p>
    <w:p w:rsidR="00000000" w:rsidDel="00000000" w:rsidP="00000000" w:rsidRDefault="00000000" w:rsidRPr="00000000" w14:paraId="00000103">
      <w:pPr>
        <w:spacing w:after="0" w:line="240" w:lineRule="auto"/>
        <w:ind w:left="2268" w:firstLine="0"/>
        <w:jc w:val="both"/>
        <w:rPr>
          <w:rFonts w:ascii="Arial" w:cs="Arial" w:eastAsia="Arial" w:hAnsi="Arial"/>
          <w:i w:val="1"/>
          <w:color w:val="000000"/>
          <w:sz w:val="20"/>
          <w:szCs w:val="20"/>
          <w:highlight w:val="white"/>
        </w:rPr>
      </w:pPr>
      <w:r w:rsidDel="00000000" w:rsidR="00000000" w:rsidRPr="00000000">
        <w:rPr>
          <w:rtl w:val="0"/>
        </w:rPr>
      </w:r>
    </w:p>
    <w:p w:rsidR="00000000" w:rsidDel="00000000" w:rsidP="00000000" w:rsidRDefault="00000000" w:rsidRPr="00000000" w14:paraId="00000104">
      <w:pPr>
        <w:spacing w:after="0" w:line="240" w:lineRule="auto"/>
        <w:jc w:val="both"/>
        <w:rPr>
          <w:rFonts w:ascii="Arial" w:cs="Arial" w:eastAsia="Arial" w:hAnsi="Arial"/>
          <w:i w:val="1"/>
          <w:color w:val="000000"/>
          <w:sz w:val="24"/>
          <w:szCs w:val="24"/>
          <w:highlight w:val="white"/>
        </w:rPr>
      </w:pPr>
      <w:r w:rsidDel="00000000" w:rsidR="00000000" w:rsidRPr="00000000">
        <w:rPr>
          <w:rtl w:val="0"/>
        </w:rPr>
      </w:r>
    </w:p>
    <w:p w:rsidR="00000000" w:rsidDel="00000000" w:rsidP="00000000" w:rsidRDefault="00000000" w:rsidRPr="00000000" w14:paraId="00000105">
      <w:pPr>
        <w:spacing w:after="0" w:line="240" w:lineRule="auto"/>
        <w:jc w:val="both"/>
        <w:rPr>
          <w:rFonts w:ascii="Arial" w:cs="Arial" w:eastAsia="Arial" w:hAnsi="Arial"/>
          <w:color w:val="1c1c1c"/>
          <w:sz w:val="24"/>
          <w:szCs w:val="24"/>
          <w:highlight w:val="white"/>
        </w:rPr>
      </w:pPr>
      <w:r w:rsidDel="00000000" w:rsidR="00000000" w:rsidRPr="00000000">
        <w:rPr>
          <w:rFonts w:ascii="Arial" w:cs="Arial" w:eastAsia="Arial" w:hAnsi="Arial"/>
          <w:i w:val="1"/>
          <w:color w:val="000000"/>
          <w:sz w:val="24"/>
          <w:szCs w:val="24"/>
          <w:highlight w:val="white"/>
          <w:rtl w:val="0"/>
        </w:rPr>
        <w:t xml:space="preserve">Segundo </w:t>
      </w:r>
      <w:r w:rsidDel="00000000" w:rsidR="00000000" w:rsidRPr="00000000">
        <w:rPr>
          <w:rFonts w:ascii="Arial" w:cs="Arial" w:eastAsia="Arial" w:hAnsi="Arial"/>
          <w:color w:val="1c1c1c"/>
          <w:sz w:val="24"/>
          <w:szCs w:val="24"/>
          <w:highlight w:val="white"/>
          <w:rtl w:val="0"/>
        </w:rPr>
        <w:t xml:space="preserve">Diniz, Maria H.  </w:t>
      </w:r>
      <w:r w:rsidDel="00000000" w:rsidR="00000000" w:rsidRPr="00000000">
        <w:rPr>
          <w:rFonts w:ascii="Arial" w:cs="Arial" w:eastAsia="Arial" w:hAnsi="Arial"/>
          <w:i w:val="0"/>
          <w:color w:val="1c1c1c"/>
          <w:sz w:val="24"/>
          <w:szCs w:val="24"/>
          <w:highlight w:val="white"/>
          <w:rtl w:val="0"/>
        </w:rPr>
        <w:t xml:space="preserve">Manual de direito civil</w:t>
      </w:r>
      <w:r w:rsidDel="00000000" w:rsidR="00000000" w:rsidRPr="00000000">
        <w:rPr>
          <w:rFonts w:ascii="Arial" w:cs="Arial" w:eastAsia="Arial" w:hAnsi="Arial"/>
          <w:i w:val="1"/>
          <w:color w:val="1c1c1c"/>
          <w:sz w:val="24"/>
          <w:szCs w:val="24"/>
          <w:highlight w:val="white"/>
          <w:rtl w:val="0"/>
        </w:rPr>
        <w:t xml:space="preserve">.</w:t>
      </w:r>
      <w:r w:rsidDel="00000000" w:rsidR="00000000" w:rsidRPr="00000000">
        <w:rPr>
          <w:rFonts w:ascii="Arial" w:cs="Arial" w:eastAsia="Arial" w:hAnsi="Arial"/>
          <w:color w:val="1c1c1c"/>
          <w:sz w:val="24"/>
          <w:szCs w:val="24"/>
          <w:highlight w:val="white"/>
          <w:rtl w:val="0"/>
        </w:rPr>
        <w:t xml:space="preserve"> (2022. P. 39)</w:t>
      </w:r>
    </w:p>
    <w:p w:rsidR="00000000" w:rsidDel="00000000" w:rsidP="00000000" w:rsidRDefault="00000000" w:rsidRPr="00000000" w14:paraId="00000106">
      <w:pPr>
        <w:spacing w:after="0" w:line="240" w:lineRule="auto"/>
        <w:jc w:val="both"/>
        <w:rPr>
          <w:rFonts w:ascii="Roboto" w:cs="Roboto" w:eastAsia="Roboto" w:hAnsi="Roboto"/>
          <w:color w:val="1c1c1c"/>
          <w:highlight w:val="white"/>
        </w:rPr>
      </w:pPr>
      <w:r w:rsidDel="00000000" w:rsidR="00000000" w:rsidRPr="00000000">
        <w:rPr>
          <w:rtl w:val="0"/>
        </w:rPr>
      </w:r>
    </w:p>
    <w:p w:rsidR="00000000" w:rsidDel="00000000" w:rsidP="00000000" w:rsidRDefault="00000000" w:rsidRPr="00000000" w14:paraId="00000107">
      <w:pPr>
        <w:spacing w:after="0" w:line="240" w:lineRule="auto"/>
        <w:ind w:left="2268" w:firstLine="0"/>
        <w:jc w:val="both"/>
        <w:rPr>
          <w:rFonts w:ascii="Arial" w:cs="Arial" w:eastAsia="Arial" w:hAnsi="Arial"/>
          <w:b w:val="1"/>
          <w:color w:val="000000"/>
          <w:sz w:val="20"/>
          <w:szCs w:val="20"/>
          <w:highlight w:val="white"/>
        </w:rPr>
      </w:pPr>
      <w:r w:rsidDel="00000000" w:rsidR="00000000" w:rsidRPr="00000000">
        <w:rPr>
          <w:rFonts w:ascii="Arial" w:cs="Arial" w:eastAsia="Arial" w:hAnsi="Arial"/>
          <w:color w:val="000000"/>
          <w:sz w:val="20"/>
          <w:szCs w:val="20"/>
          <w:highlight w:val="white"/>
          <w:rtl w:val="0"/>
        </w:rPr>
        <w:t xml:space="preserve">São pertenças todos os bens móveis ajudantes que o proprietário, intencionalmente, empregar na exploração industrial ou econômica de um imóvel, no seu aformoseamento ou na sua comodidade, como, p. ex., moldura de um quadro que ornamenta um hall de entrada de uma casa de eventos, piano num conservatório; aparelho de ar-condicionado numa sala de aula; máquinas de uma fábrica etc. </w:t>
      </w:r>
      <w:sdt>
        <w:sdtPr>
          <w:tag w:val="goog_rdk_9"/>
        </w:sdtPr>
        <w:sdtContent>
          <w:commentRangeStart w:id="9"/>
        </w:sdtContent>
      </w:sdt>
      <w:r w:rsidDel="00000000" w:rsidR="00000000" w:rsidRPr="00000000">
        <w:rPr>
          <w:rFonts w:ascii="Arial" w:cs="Arial" w:eastAsia="Arial" w:hAnsi="Arial"/>
          <w:b w:val="1"/>
          <w:color w:val="000000"/>
          <w:sz w:val="20"/>
          <w:szCs w:val="20"/>
          <w:highlight w:val="white"/>
          <w:rtl w:val="0"/>
        </w:rPr>
        <w:t xml:space="preserve">Por serem acessórios</w:t>
      </w:r>
      <w:commentRangeEnd w:id="9"/>
      <w:r w:rsidDel="00000000" w:rsidR="00000000" w:rsidRPr="00000000">
        <w:commentReference w:id="9"/>
      </w:r>
      <w:r w:rsidDel="00000000" w:rsidR="00000000" w:rsidRPr="00000000">
        <w:rPr>
          <w:rFonts w:ascii="Arial" w:cs="Arial" w:eastAsia="Arial" w:hAnsi="Arial"/>
          <w:b w:val="1"/>
          <w:color w:val="000000"/>
          <w:sz w:val="20"/>
          <w:szCs w:val="20"/>
          <w:highlight w:val="white"/>
          <w:rtl w:val="0"/>
        </w:rPr>
        <w:t xml:space="preserve"> acompanham a sorte do principal, salvo se o contrário resultar de lei, da manifestação da vontade ou das circunstâncias do caso (CC, art. 94)</w:t>
      </w:r>
    </w:p>
    <w:p w:rsidR="00000000" w:rsidDel="00000000" w:rsidP="00000000" w:rsidRDefault="00000000" w:rsidRPr="00000000" w14:paraId="00000108">
      <w:pPr>
        <w:spacing w:after="0" w:line="240" w:lineRule="auto"/>
        <w:jc w:val="both"/>
        <w:rPr>
          <w:rFonts w:ascii="Arial" w:cs="Arial" w:eastAsia="Arial" w:hAnsi="Arial"/>
          <w:i w:val="1"/>
          <w:color w:val="000000"/>
          <w:sz w:val="24"/>
          <w:szCs w:val="24"/>
          <w:highlight w:val="white"/>
        </w:rPr>
      </w:pPr>
      <w:r w:rsidDel="00000000" w:rsidR="00000000" w:rsidRPr="00000000">
        <w:rPr>
          <w:rtl w:val="0"/>
        </w:rPr>
      </w:r>
    </w:p>
    <w:p w:rsidR="00000000" w:rsidDel="00000000" w:rsidP="00000000" w:rsidRDefault="00000000" w:rsidRPr="00000000" w14:paraId="00000109">
      <w:pPr>
        <w:spacing w:after="0" w:line="240" w:lineRule="auto"/>
        <w:jc w:val="both"/>
        <w:rPr>
          <w:rFonts w:ascii="Arial" w:cs="Arial" w:eastAsia="Arial" w:hAnsi="Arial"/>
          <w:i w:val="1"/>
          <w:color w:val="000000"/>
          <w:sz w:val="24"/>
          <w:szCs w:val="24"/>
          <w:highlight w:val="white"/>
        </w:rPr>
      </w:pPr>
      <w:r w:rsidDel="00000000" w:rsidR="00000000" w:rsidRPr="00000000">
        <w:rPr>
          <w:rtl w:val="0"/>
        </w:rPr>
      </w:r>
    </w:p>
    <w:p w:rsidR="00000000" w:rsidDel="00000000" w:rsidP="00000000" w:rsidRDefault="00000000" w:rsidRPr="00000000" w14:paraId="0000010A">
      <w:pPr>
        <w:spacing w:after="0" w:line="240" w:lineRule="auto"/>
        <w:ind w:firstLine="567"/>
        <w:jc w:val="both"/>
        <w:rPr>
          <w:rFonts w:ascii="Arial" w:cs="Arial" w:eastAsia="Arial" w:hAnsi="Arial"/>
          <w:color w:val="000000"/>
          <w:sz w:val="24"/>
          <w:szCs w:val="24"/>
          <w:highlight w:val="white"/>
        </w:rPr>
      </w:pPr>
      <w:r w:rsidDel="00000000" w:rsidR="00000000" w:rsidRPr="00000000">
        <w:rPr>
          <w:rFonts w:ascii="Arial" w:cs="Arial" w:eastAsia="Arial" w:hAnsi="Arial"/>
          <w:color w:val="000000"/>
          <w:sz w:val="24"/>
          <w:szCs w:val="24"/>
          <w:highlight w:val="white"/>
          <w:rtl w:val="0"/>
        </w:rPr>
        <w:t xml:space="preserve">Sobre o assunto, a jurisprudência deixa claro que que quem adquire um imóvel não está adquirindo juntamente com ele seus móveis: </w:t>
      </w:r>
    </w:p>
    <w:p w:rsidR="00000000" w:rsidDel="00000000" w:rsidP="00000000" w:rsidRDefault="00000000" w:rsidRPr="00000000" w14:paraId="0000010B">
      <w:pPr>
        <w:spacing w:after="0" w:line="240" w:lineRule="auto"/>
        <w:ind w:left="2268" w:firstLine="566.9999999999999"/>
        <w:jc w:val="both"/>
        <w:rPr>
          <w:rFonts w:ascii="Arial" w:cs="Arial" w:eastAsia="Arial" w:hAnsi="Arial"/>
          <w:i w:val="1"/>
          <w:color w:val="000000"/>
          <w:sz w:val="24"/>
          <w:szCs w:val="24"/>
          <w:highlight w:val="white"/>
        </w:rPr>
      </w:pPr>
      <w:r w:rsidDel="00000000" w:rsidR="00000000" w:rsidRPr="00000000">
        <w:rPr>
          <w:rtl w:val="0"/>
        </w:rPr>
      </w:r>
    </w:p>
    <w:p w:rsidR="00000000" w:rsidDel="00000000" w:rsidP="00000000" w:rsidRDefault="00000000" w:rsidRPr="00000000" w14:paraId="0000010C">
      <w:pPr>
        <w:spacing w:after="0" w:line="240" w:lineRule="auto"/>
        <w:ind w:left="2268" w:firstLine="0"/>
        <w:jc w:val="both"/>
        <w:rPr>
          <w:rFonts w:ascii="Arial" w:cs="Arial" w:eastAsia="Arial" w:hAnsi="Arial"/>
          <w:i w:val="1"/>
          <w:color w:val="000000"/>
          <w:sz w:val="20"/>
          <w:szCs w:val="20"/>
          <w:highlight w:val="white"/>
        </w:rPr>
      </w:pPr>
      <w:r w:rsidDel="00000000" w:rsidR="00000000" w:rsidRPr="00000000">
        <w:rPr>
          <w:rFonts w:ascii="Arial" w:cs="Arial" w:eastAsia="Arial" w:hAnsi="Arial"/>
          <w:sz w:val="20"/>
          <w:szCs w:val="20"/>
          <w:rtl w:val="0"/>
        </w:rPr>
        <w:t xml:space="preserve">CIVIL. PROCESSO CIVIL. CONTRATO DE COMPRA E VENDA DE IMÓVEL. BENS MÓVEIS RETIRADOS PELA VENDEDORA. PERTENÇAS. NÃO INCLUSAS NO CONTRATO. POSSIBILIDADE.</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1. As pertenças são bens, geralmente móveis, que tem por característica aumentar a eficiência econômica (uso, serviço ou aformoseamento) de outro bem e, em razão de sua autonomia física, podem ser destacados para serem objetos de relações jurídicas próprias, não mantendo qualquer relação com a da coisa principal. Assim, podem ser alienadas separadamente do bem em que estão empregadas.</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2. Se as pertenças retiradas pela vendedora não estavam incluídas no contrato celebrado entre as partes, não há se falar em indenização por danos materiais.</w:t>
      </w: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sz w:val="20"/>
          <w:szCs w:val="20"/>
          <w:rtl w:val="0"/>
        </w:rPr>
        <w:t xml:space="preserve">3. Recurso conhecido e desprovido. </w:t>
      </w:r>
      <w:r w:rsidDel="00000000" w:rsidR="00000000" w:rsidRPr="00000000">
        <w:rPr>
          <w:rFonts w:ascii="Arial" w:cs="Arial" w:eastAsia="Arial" w:hAnsi="Arial"/>
          <w:b w:val="1"/>
          <w:sz w:val="20"/>
          <w:szCs w:val="20"/>
          <w:rtl w:val="0"/>
        </w:rPr>
        <w:t xml:space="preserve">Acórdão. </w:t>
      </w:r>
      <w:r w:rsidDel="00000000" w:rsidR="00000000" w:rsidRPr="00000000">
        <w:rPr>
          <w:rFonts w:ascii="Arial" w:cs="Arial" w:eastAsia="Arial" w:hAnsi="Arial"/>
          <w:sz w:val="20"/>
          <w:szCs w:val="20"/>
          <w:rtl w:val="0"/>
        </w:rPr>
        <w:t xml:space="preserve">CONHECER. NEGAR PROVIMENTO. UNÂNIME</w:t>
      </w:r>
      <w:r w:rsidDel="00000000" w:rsidR="00000000" w:rsidRPr="00000000">
        <w:rPr>
          <w:rtl w:val="0"/>
        </w:rPr>
      </w:r>
    </w:p>
    <w:p w:rsidR="00000000" w:rsidDel="00000000" w:rsidP="00000000" w:rsidRDefault="00000000" w:rsidRPr="00000000" w14:paraId="0000010D">
      <w:pPr>
        <w:shd w:fill="ffffff" w:val="clear"/>
        <w:spacing w:after="0" w:before="48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mesmo entendimento, outra jurisprudência:</w:t>
      </w:r>
    </w:p>
    <w:p w:rsidR="00000000" w:rsidDel="00000000" w:rsidP="00000000" w:rsidRDefault="00000000" w:rsidRPr="00000000" w14:paraId="0000010E">
      <w:pPr>
        <w:shd w:fill="ffffff" w:val="clear"/>
        <w:spacing w:after="0" w:line="240" w:lineRule="auto"/>
        <w:ind w:left="2268"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F">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EMBARGOS DE DECLARAÇÃO. AGRAVO DE INSTRUMENTO. ARMÁRIOS EMBUTIDOS. PERTENÇAS. AUSÊNCIA DE OMISSÃO E VIOLAÇÃO DOS ARTIGOS 82 E 93, CC. Insurgência contra decisão que permitiu retirada de armários embutidos de imóvel arrematado, por ser pertenças (Art. 94, CC). Alegação de omissão. Ressarcimento. Não ocorrência. Tendo natureza de pertença, a retirada dos armários embutidos não gera direito a ressarcimento. Alegação de violação dos artigos 82 e 93 do Código Civil. Não ocorrência. Acórdão fundamenta natureza de pertença dos armários. Embargos Rejeitados. Trata-se de embargos de declaração opostos contra acórdão de agravo de instrumento de fls. 77/83, que reformou decisão de primeira instância, determinando a retirada de armários embutidos de imóvel arrematado, por se tratar de pertença. [...] As pertenças por sua própria natureza, quando retiradas, não geram direito a ressarcimento, já que não seguem o destino do bem principal. Acórdão, portanto, não foi omisso, pois não havia a possibilidade de ressarcimento ao ora embargante.  </w:t>
      </w:r>
    </w:p>
    <w:p w:rsidR="00000000" w:rsidDel="00000000" w:rsidP="00000000" w:rsidRDefault="00000000" w:rsidRPr="00000000" w14:paraId="00000110">
      <w:pPr>
        <w:shd w:fill="ffffff" w:val="clear"/>
        <w:spacing w:after="180" w:before="480"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da mesma maneira: </w:t>
      </w:r>
    </w:p>
    <w:p w:rsidR="00000000" w:rsidDel="00000000" w:rsidP="00000000" w:rsidRDefault="00000000" w:rsidRPr="00000000" w14:paraId="00000111">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AÇÃO INDENIZATÓRIA. COMPRA E VENDA. IMÓVEL ENTREGUE SEM ALGUMAS PERTENÇAS. BENS QUE NÃO SEGUEM A SORTE DO PRINCIPAL. ART. 94, CC. AUSÊNCIA DE PREVISÃO NO CONTRATO. CONJUNTO PROBATÓRIO QUE NÃO REVELA A PACTUAÇÃO DESSES BENS. IMPROCEDÊNCIA MANTIDA. APELO DA AUTORA NÃO PROVIDO. AGRAVO RETIDO DA RÉ NÃO CONHECIDO.</w:t>
      </w:r>
    </w:p>
    <w:p w:rsidR="00000000" w:rsidDel="00000000" w:rsidP="00000000" w:rsidRDefault="00000000" w:rsidRPr="00000000" w14:paraId="00000112">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Ação de indenização movida pela promitente compradora. Imóvel entregue sem algumas pertenças. Sentença de improcedência. Manutenção.</w:t>
      </w:r>
    </w:p>
    <w:p w:rsidR="00000000" w:rsidDel="00000000" w:rsidP="00000000" w:rsidRDefault="00000000" w:rsidRPr="00000000" w14:paraId="00000113">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As pertenças são bens que, via de regra, não seguem a sorte do principal. Art. 94, CC.</w:t>
      </w:r>
    </w:p>
    <w:p w:rsidR="00000000" w:rsidDel="00000000" w:rsidP="00000000" w:rsidRDefault="00000000" w:rsidRPr="00000000" w14:paraId="00000114">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Ausência de previsão no contrato de compra e venda. Conjunto probatório que não revela a pactuação de entrega do imóvel com as pertenças.</w:t>
      </w:r>
    </w:p>
    <w:p w:rsidR="00000000" w:rsidDel="00000000" w:rsidP="00000000" w:rsidRDefault="00000000" w:rsidRPr="00000000" w14:paraId="00000115">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 Agravo retido não reiterado nas contrarrazões. Art. 523, § 1º, CPC.</w:t>
      </w:r>
    </w:p>
    <w:p w:rsidR="00000000" w:rsidDel="00000000" w:rsidP="00000000" w:rsidRDefault="00000000" w:rsidRPr="00000000" w14:paraId="00000116">
      <w:pPr>
        <w:shd w:fill="ffffff" w:val="clear"/>
        <w:spacing w:after="0" w:line="240" w:lineRule="auto"/>
        <w:ind w:left="2268"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 Agravo retido da ré não conhecido e apelação da autora não provida.</w:t>
      </w:r>
    </w:p>
    <w:p w:rsidR="00000000" w:rsidDel="00000000" w:rsidP="00000000" w:rsidRDefault="00000000" w:rsidRPr="00000000" w14:paraId="00000117">
      <w:pPr>
        <w:shd w:fill="ffffff" w:val="clear"/>
        <w:spacing w:after="180" w:before="480" w:line="240"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Dessa forma, o entendimento desse parecer fundamenta-se na legislação e na doutrina, concluindo que Alessandra e Abílio </w:t>
      </w:r>
      <w:sdt>
        <w:sdtPr>
          <w:tag w:val="goog_rdk_10"/>
        </w:sdtPr>
        <w:sdtContent>
          <w:commentRangeStart w:id="10"/>
        </w:sdtContent>
      </w:sdt>
      <w:r w:rsidDel="00000000" w:rsidR="00000000" w:rsidRPr="00000000">
        <w:rPr>
          <w:rFonts w:ascii="Arial" w:cs="Arial" w:eastAsia="Arial" w:hAnsi="Arial"/>
          <w:sz w:val="24"/>
          <w:szCs w:val="24"/>
          <w:rtl w:val="0"/>
        </w:rPr>
        <w:t xml:space="preserve">não têm direito ao recebimento</w:t>
      </w:r>
      <w:commentRangeEnd w:id="10"/>
      <w:r w:rsidDel="00000000" w:rsidR="00000000" w:rsidRPr="00000000">
        <w:commentReference w:id="10"/>
      </w:r>
      <w:r w:rsidDel="00000000" w:rsidR="00000000" w:rsidRPr="00000000">
        <w:rPr>
          <w:rFonts w:ascii="Arial" w:cs="Arial" w:eastAsia="Arial" w:hAnsi="Arial"/>
          <w:sz w:val="24"/>
          <w:szCs w:val="24"/>
          <w:rtl w:val="0"/>
        </w:rPr>
        <w:t xml:space="preserve"> dos móveis planejados. Do mesmo modo, nenhum outro comprador contemplaria esse direito.</w:t>
      </w:r>
    </w:p>
    <w:p w:rsidR="00000000" w:rsidDel="00000000" w:rsidP="00000000" w:rsidRDefault="00000000" w:rsidRPr="00000000" w14:paraId="00000118">
      <w:pPr>
        <w:shd w:fill="ffffff" w:val="clear"/>
        <w:spacing w:after="200" w:line="360" w:lineRule="auto"/>
        <w:ind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119">
      <w:pPr>
        <w:spacing w:after="200" w:line="276"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3.1 PLEITEAMENTO DE INDENIZAÇÃO EM FACE DE VANESSA</w:t>
      </w:r>
    </w:p>
    <w:p w:rsidR="00000000" w:rsidDel="00000000" w:rsidP="00000000" w:rsidRDefault="00000000" w:rsidRPr="00000000" w14:paraId="0000011A">
      <w:pPr>
        <w:spacing w:after="200" w:line="276" w:lineRule="auto"/>
        <w:ind w:firstLine="567"/>
        <w:jc w:val="both"/>
        <w:rPr>
          <w:rFonts w:ascii="Arial" w:cs="Arial" w:eastAsia="Arial" w:hAnsi="Arial"/>
          <w:b w:val="1"/>
          <w:sz w:val="24"/>
          <w:szCs w:val="24"/>
        </w:rPr>
      </w:pPr>
      <w:r w:rsidDel="00000000" w:rsidR="00000000" w:rsidRPr="00000000">
        <w:rPr>
          <w:rFonts w:ascii="Arial" w:cs="Arial" w:eastAsia="Arial" w:hAnsi="Arial"/>
          <w:sz w:val="24"/>
          <w:szCs w:val="24"/>
          <w:rtl w:val="0"/>
        </w:rPr>
        <w:t xml:space="preserve">Perante o caso apresentado, é necessário analisar a possibilidade de pleitear uma indenização contra Vanessa, sócia-administradora da Habite Construção e Acabamento LTDA, tendo em vista o prejuízo potencial causado pela promessa implícita de entrega de apartamentos mobiliados. Promessa essa feita sem a autorização ou previsão contratual, que resultou em insatisfação de clientes e possíveis repercussões financeiras adversas para a empresa</w:t>
      </w:r>
      <w:r w:rsidDel="00000000" w:rsidR="00000000" w:rsidRPr="00000000">
        <w:rPr>
          <w:rFonts w:ascii="Arial" w:cs="Arial" w:eastAsia="Arial" w:hAnsi="Arial"/>
          <w:b w:val="1"/>
          <w:sz w:val="24"/>
          <w:szCs w:val="24"/>
          <w:rtl w:val="0"/>
        </w:rPr>
        <w:t xml:space="preserve">.</w:t>
      </w:r>
    </w:p>
    <w:p w:rsidR="00000000" w:rsidDel="00000000" w:rsidP="00000000" w:rsidRDefault="00000000" w:rsidRPr="00000000" w14:paraId="0000011B">
      <w:pPr>
        <w:spacing w:after="200" w:line="276"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1C">
      <w:pPr>
        <w:spacing w:after="200" w:line="276"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 Fundamentação Jurídica</w:t>
      </w:r>
    </w:p>
    <w:p w:rsidR="00000000" w:rsidDel="00000000" w:rsidP="00000000" w:rsidRDefault="00000000" w:rsidRPr="00000000" w14:paraId="0000011D">
      <w:pPr>
        <w:spacing w:after="200" w:line="276"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1E">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1.1. </w:t>
      </w:r>
      <w:r w:rsidDel="00000000" w:rsidR="00000000" w:rsidRPr="00000000">
        <w:rPr>
          <w:rFonts w:ascii="Arial" w:cs="Arial" w:eastAsia="Arial" w:hAnsi="Arial"/>
          <w:sz w:val="24"/>
          <w:szCs w:val="24"/>
          <w:rtl w:val="0"/>
        </w:rPr>
        <w:t xml:space="preserve">Fábio Ulhoa Coelho</w:t>
      </w:r>
    </w:p>
    <w:p w:rsidR="00000000" w:rsidDel="00000000" w:rsidP="00000000" w:rsidRDefault="00000000" w:rsidRPr="00000000" w14:paraId="0000011F">
      <w:pPr>
        <w:spacing w:after="200" w:line="276" w:lineRule="auto"/>
        <w:jc w:val="both"/>
        <w:rPr>
          <w:rFonts w:ascii="Arial" w:cs="Arial" w:eastAsia="Arial" w:hAnsi="Arial"/>
          <w:sz w:val="24"/>
          <w:szCs w:val="24"/>
        </w:rPr>
      </w:pPr>
      <w:r w:rsidDel="00000000" w:rsidR="00000000" w:rsidRPr="00000000">
        <w:rPr>
          <w:rtl w:val="0"/>
        </w:rPr>
        <w:t xml:space="preserve">   </w:t>
      </w:r>
      <w:r w:rsidDel="00000000" w:rsidR="00000000" w:rsidRPr="00000000">
        <w:rPr>
          <w:rFonts w:ascii="Arial" w:cs="Arial" w:eastAsia="Arial" w:hAnsi="Arial"/>
          <w:sz w:val="24"/>
          <w:szCs w:val="24"/>
          <w:rtl w:val="0"/>
        </w:rPr>
        <w:t xml:space="preserve">Fábio Ulhoa Coelho, em sua obra "Curso de Direito Comercial", destaca a importância do dever de diligência dos administradores. Este dever implica que o administrador deve atuar com o cuidado e a competência que se espera de uma pessoa prudente na administração de seus próprios negócios. A violação desse dever, especialmente quando causa prejuízos à sociedade, pode resultar em responsabilidade civil.</w:t>
      </w:r>
    </w:p>
    <w:p w:rsidR="00000000" w:rsidDel="00000000" w:rsidP="00000000" w:rsidRDefault="00000000" w:rsidRPr="00000000" w14:paraId="00000120">
      <w:pPr>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administrador responde pelos prejuízos que causar à sociedade por atos praticados com dolo ou culpa. O dever de diligência exige que o administrador aja com a mesma prudência e cuidado que empregaria na gestão de seus próprios negócios" (COELHO, Fábio Ulhoa. Curso de Direito Comercial. 16ª ed. São Paulo: Saraiva, 2012).</w:t>
      </w:r>
    </w:p>
    <w:p w:rsidR="00000000" w:rsidDel="00000000" w:rsidP="00000000" w:rsidRDefault="00000000" w:rsidRPr="00000000" w14:paraId="00000121">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22">
      <w:pPr>
        <w:spacing w:after="200" w:line="276" w:lineRule="auto"/>
        <w:ind w:firstLine="567"/>
        <w:jc w:val="both"/>
        <w:rPr/>
      </w:pPr>
      <w:r w:rsidDel="00000000" w:rsidR="00000000" w:rsidRPr="00000000">
        <w:rPr>
          <w:rFonts w:ascii="Arial" w:cs="Arial" w:eastAsia="Arial" w:hAnsi="Arial"/>
          <w:sz w:val="24"/>
          <w:szCs w:val="24"/>
          <w:rtl w:val="0"/>
        </w:rPr>
        <w:t xml:space="preserve"> Neste caso, Vanessa agiu com imprudência ao prometer implicitamente a entrega de apartamentos mobiliados, o que extrapola seu dever de diligência. Quando comprovado que sua conduta causou danos à empresa, ela poderá ser responsabilizada</w:t>
      </w:r>
      <w:r w:rsidDel="00000000" w:rsidR="00000000" w:rsidRPr="00000000">
        <w:rPr>
          <w:rtl w:val="0"/>
        </w:rPr>
        <w:t xml:space="preserve">.</w:t>
      </w:r>
    </w:p>
    <w:p w:rsidR="00000000" w:rsidDel="00000000" w:rsidP="00000000" w:rsidRDefault="00000000" w:rsidRPr="00000000" w14:paraId="00000123">
      <w:pPr>
        <w:spacing w:after="200" w:line="276" w:lineRule="auto"/>
        <w:jc w:val="both"/>
        <w:rPr/>
      </w:pPr>
      <w:r w:rsidDel="00000000" w:rsidR="00000000" w:rsidRPr="00000000">
        <w:rPr>
          <w:rtl w:val="0"/>
        </w:rPr>
      </w:r>
    </w:p>
    <w:p w:rsidR="00000000" w:rsidDel="00000000" w:rsidP="00000000" w:rsidRDefault="00000000" w:rsidRPr="00000000" w14:paraId="00000124">
      <w:pPr>
        <w:spacing w:after="200" w:line="276" w:lineRule="auto"/>
        <w:jc w:val="both"/>
        <w:rPr/>
      </w:pPr>
      <w:r w:rsidDel="00000000" w:rsidR="00000000" w:rsidRPr="00000000">
        <w:rPr>
          <w:rFonts w:ascii="Arial" w:cs="Arial" w:eastAsia="Arial" w:hAnsi="Arial"/>
          <w:b w:val="1"/>
          <w:sz w:val="24"/>
          <w:szCs w:val="24"/>
          <w:rtl w:val="0"/>
        </w:rPr>
        <w:t xml:space="preserve">1.2.</w:t>
      </w:r>
      <w:r w:rsidDel="00000000" w:rsidR="00000000" w:rsidRPr="00000000">
        <w:rPr>
          <w:b w:val="1"/>
          <w:sz w:val="24"/>
          <w:szCs w:val="24"/>
          <w:rtl w:val="0"/>
        </w:rPr>
        <w:t xml:space="preserve"> </w:t>
      </w:r>
      <w:r w:rsidDel="00000000" w:rsidR="00000000" w:rsidRPr="00000000">
        <w:rPr>
          <w:rFonts w:ascii="Arial" w:cs="Arial" w:eastAsia="Arial" w:hAnsi="Arial"/>
          <w:sz w:val="24"/>
          <w:szCs w:val="24"/>
          <w:rtl w:val="0"/>
        </w:rPr>
        <w:t xml:space="preserve">Modesto Carvalhosa</w:t>
      </w:r>
      <w:r w:rsidDel="00000000" w:rsidR="00000000" w:rsidRPr="00000000">
        <w:rPr>
          <w:rtl w:val="0"/>
        </w:rPr>
      </w:r>
    </w:p>
    <w:p w:rsidR="00000000" w:rsidDel="00000000" w:rsidP="00000000" w:rsidRDefault="00000000" w:rsidRPr="00000000" w14:paraId="00000125">
      <w:pPr>
        <w:spacing w:after="200" w:line="276" w:lineRule="auto"/>
        <w:ind w:firstLine="567"/>
        <w:jc w:val="both"/>
        <w:rPr>
          <w:rFonts w:ascii="Arial" w:cs="Arial" w:eastAsia="Arial" w:hAnsi="Arial"/>
          <w:sz w:val="24"/>
          <w:szCs w:val="24"/>
        </w:rPr>
      </w:pPr>
      <w:r w:rsidDel="00000000" w:rsidR="00000000" w:rsidRPr="00000000">
        <w:rPr>
          <w:rtl w:val="0"/>
        </w:rPr>
        <w:t xml:space="preserve">   </w:t>
      </w:r>
      <w:r w:rsidDel="00000000" w:rsidR="00000000" w:rsidRPr="00000000">
        <w:rPr>
          <w:rFonts w:ascii="Arial" w:cs="Arial" w:eastAsia="Arial" w:hAnsi="Arial"/>
          <w:sz w:val="24"/>
          <w:szCs w:val="24"/>
          <w:rtl w:val="0"/>
        </w:rPr>
        <w:t xml:space="preserve">Modesto Carvalhosa, em "Comentários à Lei de Sociedades Anônimas", aborda a responsabilidade dos administradores por atos ultra vires, ou seja, atos que excedem os poderes conferidos pelo contrato social ou estatuto. Carvalhosa ressalta que os administradores são responsáveis pelos danos causados à sociedade quando agem além de seus poderes.</w:t>
      </w:r>
    </w:p>
    <w:p w:rsidR="00000000" w:rsidDel="00000000" w:rsidP="00000000" w:rsidRDefault="00000000" w:rsidRPr="00000000" w14:paraId="00000126">
      <w:pPr>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responsabilidade dos administradores é decorrente da violação de seus deveres legais ou contratuais, especialmente quando praticam atos além dos poderes conferidos pelo contrato social ou estatuto, causando prejuízos à sociedade" (CARVALHOSA, Modesto. Comentários à Lei de Sociedades Anônimas. 4ª ed. São Paulo: Saraiva, 2010).</w:t>
      </w:r>
    </w:p>
    <w:p w:rsidR="00000000" w:rsidDel="00000000" w:rsidP="00000000" w:rsidRDefault="00000000" w:rsidRPr="00000000" w14:paraId="00000127">
      <w:pPr>
        <w:spacing w:after="200" w:line="276"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28">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Vanessa, quando prometer apartamentos mobiliados sem autorização, agiu além de seus poderes, configurando um ato ultra vires. Se isso causou prejuízos à empresa, ela pode ser responsabilizada civilmente.</w:t>
      </w:r>
    </w:p>
    <w:p w:rsidR="00000000" w:rsidDel="00000000" w:rsidP="00000000" w:rsidRDefault="00000000" w:rsidRPr="00000000" w14:paraId="00000129">
      <w:pPr>
        <w:spacing w:after="200" w:line="276" w:lineRule="auto"/>
        <w:jc w:val="both"/>
        <w:rPr/>
      </w:pPr>
      <w:r w:rsidDel="00000000" w:rsidR="00000000" w:rsidRPr="00000000">
        <w:rPr>
          <w:rtl w:val="0"/>
        </w:rPr>
      </w:r>
    </w:p>
    <w:p w:rsidR="00000000" w:rsidDel="00000000" w:rsidP="00000000" w:rsidRDefault="00000000" w:rsidRPr="00000000" w14:paraId="0000012A">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2. </w:t>
      </w:r>
      <w:r w:rsidDel="00000000" w:rsidR="00000000" w:rsidRPr="00000000">
        <w:rPr>
          <w:rFonts w:ascii="Arial" w:cs="Arial" w:eastAsia="Arial" w:hAnsi="Arial"/>
          <w:sz w:val="24"/>
          <w:szCs w:val="24"/>
          <w:rtl w:val="0"/>
        </w:rPr>
        <w:t xml:space="preserve">Análise Jurisprudencial</w:t>
      </w:r>
    </w:p>
    <w:p w:rsidR="00000000" w:rsidDel="00000000" w:rsidP="00000000" w:rsidRDefault="00000000" w:rsidRPr="00000000" w14:paraId="0000012B">
      <w:pPr>
        <w:spacing w:after="200" w:line="276" w:lineRule="auto"/>
        <w:jc w:val="both"/>
        <w:rPr/>
      </w:pPr>
      <w:r w:rsidDel="00000000" w:rsidR="00000000" w:rsidRPr="00000000">
        <w:rPr>
          <w:rtl w:val="0"/>
        </w:rPr>
      </w:r>
    </w:p>
    <w:p w:rsidR="00000000" w:rsidDel="00000000" w:rsidP="00000000" w:rsidRDefault="00000000" w:rsidRPr="00000000" w14:paraId="0000012C">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2.1. </w:t>
      </w:r>
      <w:r w:rsidDel="00000000" w:rsidR="00000000" w:rsidRPr="00000000">
        <w:rPr>
          <w:rFonts w:ascii="Arial" w:cs="Arial" w:eastAsia="Arial" w:hAnsi="Arial"/>
          <w:sz w:val="24"/>
          <w:szCs w:val="24"/>
          <w:rtl w:val="0"/>
        </w:rPr>
        <w:t xml:space="preserve">STJ - REsp 1.321.263/RS</w:t>
      </w:r>
    </w:p>
    <w:p w:rsidR="00000000" w:rsidDel="00000000" w:rsidP="00000000" w:rsidRDefault="00000000" w:rsidRPr="00000000" w14:paraId="0000012D">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Superior Tribunal de Justiça, no Recurso Especial nº 1.321.263/RS, decide que os administradores de sociedades empresárias podem ser responsabilizados por atos que ultrapassem seus poderes, causando prejuízos à empresa. O tribunal também enfatizou a importância do dever de diligência e da observância dos limites contratuais.</w:t>
      </w:r>
    </w:p>
    <w:p w:rsidR="00000000" w:rsidDel="00000000" w:rsidP="00000000" w:rsidRDefault="00000000" w:rsidRPr="00000000" w14:paraId="0000012E">
      <w:pPr>
        <w:tabs>
          <w:tab w:val="left" w:leader="none" w:pos="2272"/>
        </w:tabs>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administrador que, ao exercer suas funções, ultrapassa os limites de seus poderes e causa prejuízos à sociedade deve responder pelos danos decorrentes de sua atuação negligente ou imprudente" (STJ, REsp 1.321.263/RS, Rel. Min. Luis Felipe Salomão, Quarta Turma, julgado em 13/11/2012).</w:t>
      </w:r>
    </w:p>
    <w:p w:rsidR="00000000" w:rsidDel="00000000" w:rsidP="00000000" w:rsidRDefault="00000000" w:rsidRPr="00000000" w14:paraId="0000012F">
      <w:pPr>
        <w:tabs>
          <w:tab w:val="left" w:leader="none" w:pos="2272"/>
        </w:tabs>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Neste caso, a atuação negligente ou imprudente de um administrador ao ultrapassar os limites de seus poderes pode resultar em responsabilidade civil. Vanessa, ao prometer imóveis mobiliados sem autorização, pode ser responsabilizada pelos danos causados.</w:t>
      </w:r>
    </w:p>
    <w:p w:rsidR="00000000" w:rsidDel="00000000" w:rsidP="00000000" w:rsidRDefault="00000000" w:rsidRPr="00000000" w14:paraId="00000130">
      <w:pPr>
        <w:spacing w:after="200" w:line="276" w:lineRule="auto"/>
        <w:jc w:val="both"/>
        <w:rPr/>
      </w:pPr>
      <w:r w:rsidDel="00000000" w:rsidR="00000000" w:rsidRPr="00000000">
        <w:rPr>
          <w:rtl w:val="0"/>
        </w:rPr>
      </w:r>
    </w:p>
    <w:p w:rsidR="00000000" w:rsidDel="00000000" w:rsidP="00000000" w:rsidRDefault="00000000" w:rsidRPr="00000000" w14:paraId="00000131">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2.2. </w:t>
      </w:r>
      <w:r w:rsidDel="00000000" w:rsidR="00000000" w:rsidRPr="00000000">
        <w:rPr>
          <w:rFonts w:ascii="Arial" w:cs="Arial" w:eastAsia="Arial" w:hAnsi="Arial"/>
          <w:sz w:val="24"/>
          <w:szCs w:val="24"/>
          <w:rtl w:val="0"/>
        </w:rPr>
        <w:t xml:space="preserve">TJSP - Apelação Cível 1004939-40.2016.8.26.0224</w:t>
      </w:r>
    </w:p>
    <w:p w:rsidR="00000000" w:rsidDel="00000000" w:rsidP="00000000" w:rsidRDefault="00000000" w:rsidRPr="00000000" w14:paraId="00000132">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Tribunal de Justiça de São Paulo, em decisão sobre a Apelação Cível nº 1004939-40.2016.8.26.0224, afirmou que o administrador que age além dos poderes conferidos pelo contrato social, causando prejuízos à sociedade, pode ser responsabilizado civilmente. </w:t>
      </w:r>
    </w:p>
    <w:p w:rsidR="00000000" w:rsidDel="00000000" w:rsidP="00000000" w:rsidRDefault="00000000" w:rsidRPr="00000000" w14:paraId="00000133">
      <w:pPr>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"Os administradores de sociedades limitadas respondem solidariamente pelos prejuízos que causarem à sociedade, quando ultrapassarem os limites de seus poderes contratuais, agindo com negligência ou imprudência" (TJSP, Apelação Cível 1004939-40.2016.8.26.0224, Rel. Des. Francisco Loureiro, 1ª Câmara de Direito Empresarial, julgado em 18/09/2017).</w:t>
      </w:r>
    </w:p>
    <w:p w:rsidR="00000000" w:rsidDel="00000000" w:rsidP="00000000" w:rsidRDefault="00000000" w:rsidRPr="00000000" w14:paraId="00000134">
      <w:pPr>
        <w:spacing w:after="0" w:line="240" w:lineRule="auto"/>
        <w:ind w:left="227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jurisprudência do TJSP reflete o entendimento de que administradores que excedem seus poderes contratuais e causam prejuízos à sociedade devem ser responsabilizados. Vanessa, ao prometer unidades mobiliadas, teria ultrapassado os limites de seus poderes, potencialmente causando prejuízos significativos à construtora.</w:t>
      </w:r>
    </w:p>
    <w:p w:rsidR="00000000" w:rsidDel="00000000" w:rsidP="00000000" w:rsidRDefault="00000000" w:rsidRPr="00000000" w14:paraId="00000135">
      <w:pPr>
        <w:spacing w:after="200" w:line="276" w:lineRule="auto"/>
        <w:jc w:val="both"/>
        <w:rPr/>
      </w:pPr>
      <w:r w:rsidDel="00000000" w:rsidR="00000000" w:rsidRPr="00000000">
        <w:rPr>
          <w:rtl w:val="0"/>
        </w:rPr>
      </w:r>
    </w:p>
    <w:p w:rsidR="00000000" w:rsidDel="00000000" w:rsidP="00000000" w:rsidRDefault="00000000" w:rsidRPr="00000000" w14:paraId="00000136">
      <w:pPr>
        <w:spacing w:after="200" w:line="276"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7">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III. Aplicação ao Caso Concreto</w:t>
      </w:r>
      <w:r w:rsidDel="00000000" w:rsidR="00000000" w:rsidRPr="00000000">
        <w:rPr>
          <w:rtl w:val="0"/>
        </w:rPr>
      </w:r>
    </w:p>
    <w:p w:rsidR="00000000" w:rsidDel="00000000" w:rsidP="00000000" w:rsidRDefault="00000000" w:rsidRPr="00000000" w14:paraId="00000138">
      <w:pPr>
        <w:spacing w:after="200" w:line="276" w:lineRule="auto"/>
        <w:jc w:val="both"/>
        <w:rPr>
          <w:rFonts w:ascii="Arial" w:cs="Arial" w:eastAsia="Arial" w:hAnsi="Arial"/>
          <w:sz w:val="24"/>
          <w:szCs w:val="24"/>
        </w:rPr>
      </w:pPr>
      <w:r w:rsidDel="00000000" w:rsidR="00000000" w:rsidRPr="00000000">
        <w:rPr>
          <w:rtl w:val="0"/>
        </w:rPr>
      </w:r>
    </w:p>
    <w:p w:rsidR="00000000" w:rsidDel="00000000" w:rsidP="00000000" w:rsidRDefault="00000000" w:rsidRPr="00000000" w14:paraId="00000139">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Vanessa, ao promover a venda de apartamentos mobiliados sem a autorização prévia, agiu além dos poderes conferidos pelo contrato social da Habite Construção e Acabamento LTDA. Ação essa que pode ser considerada como negligente ou imprudente, uma vez que não se enquadra no desígnio de suas funções como sócia-administradora, conforme delimitado no contrato da empresa.</w:t>
      </w:r>
    </w:p>
    <w:p w:rsidR="00000000" w:rsidDel="00000000" w:rsidP="00000000" w:rsidRDefault="00000000" w:rsidRPr="00000000" w14:paraId="0000013A">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Essa conduta, ao resultar em um prejuízo significativo para a construtora, como a obrigação de entregar apartamentos mobiliados para todos os adquirentes, faz-se possível pleitear uma indenização em face de Vanessa com base nos seguintes fundamentos:</w:t>
      </w:r>
    </w:p>
    <w:p w:rsidR="00000000" w:rsidDel="00000000" w:rsidP="00000000" w:rsidRDefault="00000000" w:rsidRPr="00000000" w14:paraId="0000013B">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Violação do Dever de Diligência: </w:t>
      </w:r>
      <w:r w:rsidDel="00000000" w:rsidR="00000000" w:rsidRPr="00000000">
        <w:rPr>
          <w:rFonts w:ascii="Arial" w:cs="Arial" w:eastAsia="Arial" w:hAnsi="Arial"/>
          <w:sz w:val="24"/>
          <w:szCs w:val="24"/>
          <w:rtl w:val="0"/>
        </w:rPr>
        <w:t xml:space="preserve">Fábio Ulhoa Coelho destaca que a negligência ou imprudência na administração resulta em danos à sociedade, o que configura descumprimento do dever de diligência, sujeitando o administrador à responsabilidade civil.</w:t>
      </w:r>
    </w:p>
    <w:p w:rsidR="00000000" w:rsidDel="00000000" w:rsidP="00000000" w:rsidRDefault="00000000" w:rsidRPr="00000000" w14:paraId="0000013C">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Ato Ultra Vires: </w:t>
      </w:r>
      <w:r w:rsidDel="00000000" w:rsidR="00000000" w:rsidRPr="00000000">
        <w:rPr>
          <w:rFonts w:ascii="Arial" w:cs="Arial" w:eastAsia="Arial" w:hAnsi="Arial"/>
          <w:sz w:val="24"/>
          <w:szCs w:val="24"/>
          <w:rtl w:val="0"/>
        </w:rPr>
        <w:t xml:space="preserve">Segundo Modesto Carvalhosa, é possível observar que administradores que praticam atos que vão além dos poderes conferidos pelo contrato social, causando prejuízos a terceiros, devem ser responsabilizados. Ou seja, Vanessa, quando promete apartamentos mobiliados sem autorização, cometeu um ato ultra vires.</w:t>
      </w:r>
    </w:p>
    <w:p w:rsidR="00000000" w:rsidDel="00000000" w:rsidP="00000000" w:rsidRDefault="00000000" w:rsidRPr="00000000" w14:paraId="0000013D">
      <w:pPr>
        <w:spacing w:after="200" w:line="276" w:lineRule="auto"/>
        <w:jc w:val="both"/>
        <w:rPr>
          <w:rFonts w:ascii="Arial" w:cs="Arial" w:eastAsia="Arial" w:hAnsi="Arial"/>
          <w:sz w:val="24"/>
          <w:szCs w:val="24"/>
        </w:rPr>
      </w:pPr>
      <w:r w:rsidDel="00000000" w:rsidR="00000000" w:rsidRPr="00000000">
        <w:rPr>
          <w:rFonts w:ascii="Arial" w:cs="Arial" w:eastAsia="Arial" w:hAnsi="Arial"/>
          <w:b w:val="1"/>
          <w:sz w:val="24"/>
          <w:szCs w:val="24"/>
          <w:rtl w:val="0"/>
        </w:rPr>
        <w:t xml:space="preserve">Precedentes Jurisprudenciais: </w:t>
      </w:r>
      <w:r w:rsidDel="00000000" w:rsidR="00000000" w:rsidRPr="00000000">
        <w:rPr>
          <w:rFonts w:ascii="Arial" w:cs="Arial" w:eastAsia="Arial" w:hAnsi="Arial"/>
          <w:sz w:val="24"/>
          <w:szCs w:val="24"/>
          <w:rtl w:val="0"/>
        </w:rPr>
        <w:t xml:space="preserve">O STJ e o TJSP reconhecem a responsabilidade dos administradores que excedem seus poderes, causando prejuízos a terceiros. Precedentes esses que fortalecem a possibilidade de pleitear uma indenização contra Vanessa.</w:t>
      </w:r>
    </w:p>
    <w:p w:rsidR="00000000" w:rsidDel="00000000" w:rsidP="00000000" w:rsidRDefault="00000000" w:rsidRPr="00000000" w14:paraId="0000013E">
      <w:pPr>
        <w:spacing w:after="200" w:line="276" w:lineRule="auto"/>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3F">
      <w:pPr>
        <w:spacing w:after="200" w:line="276" w:lineRule="auto"/>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IV. Conclusão</w:t>
      </w:r>
    </w:p>
    <w:p w:rsidR="00000000" w:rsidDel="00000000" w:rsidP="00000000" w:rsidRDefault="00000000" w:rsidRPr="00000000" w14:paraId="00000140">
      <w:pPr>
        <w:spacing w:after="200" w:line="276" w:lineRule="auto"/>
        <w:ind w:firstLine="567"/>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das análises doutrinárias e jurisprudenciais, fica evidente de que é possível pleitear uma indenização em face de Vanessa pelos prejuízos causados à em</w:t>
      </w:r>
      <w:sdt>
        <w:sdtPr>
          <w:tag w:val="goog_rdk_11"/>
        </w:sdtPr>
        <w:sdtContent>
          <w:commentRangeStart w:id="11"/>
        </w:sdtContent>
      </w:sdt>
      <w:r w:rsidDel="00000000" w:rsidR="00000000" w:rsidRPr="00000000">
        <w:rPr>
          <w:rFonts w:ascii="Arial" w:cs="Arial" w:eastAsia="Arial" w:hAnsi="Arial"/>
          <w:sz w:val="24"/>
          <w:szCs w:val="24"/>
          <w:rtl w:val="0"/>
        </w:rPr>
        <w:t xml:space="preserve">presa devido </w:t>
      </w:r>
      <w:sdt>
        <w:sdtPr>
          <w:tag w:val="goog_rdk_12"/>
        </w:sdtPr>
        <w:sdtContent>
          <w:commentRangeStart w:id="12"/>
        </w:sdtContent>
      </w:sdt>
      <w:r w:rsidDel="00000000" w:rsidR="00000000" w:rsidRPr="00000000">
        <w:rPr>
          <w:rFonts w:ascii="Arial" w:cs="Arial" w:eastAsia="Arial" w:hAnsi="Arial"/>
          <w:sz w:val="24"/>
          <w:szCs w:val="24"/>
          <w:rtl w:val="0"/>
        </w:rPr>
        <w:t xml:space="preserve">à</w:t>
      </w:r>
      <w:commentRangeEnd w:id="12"/>
      <w:r w:rsidDel="00000000" w:rsidR="00000000" w:rsidRPr="00000000">
        <w:commentReference w:id="12"/>
      </w:r>
      <w:r w:rsidDel="00000000" w:rsidR="00000000" w:rsidRPr="00000000">
        <w:rPr>
          <w:rFonts w:ascii="Arial" w:cs="Arial" w:eastAsia="Arial" w:hAnsi="Arial"/>
          <w:sz w:val="24"/>
          <w:szCs w:val="24"/>
          <w:rtl w:val="0"/>
        </w:rPr>
        <w:t xml:space="preserve"> promessa implícita de móveis planejados aos compradores dos apartamentos. A sócia-administradora excedeu seus poderes contratuais, configurando um ato ultra vires, podendo assim ser responsabilizada civilmente, desde que se comprove a ocorrência de dano, nexo causal e culpa ou dolo em sua conduta.</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141">
      <w:pPr>
        <w:shd w:fill="ffffff" w:val="clear"/>
        <w:spacing w:after="200" w:line="360" w:lineRule="auto"/>
        <w:ind w:firstLine="720"/>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142">
      <w:pPr>
        <w:jc w:val="both"/>
        <w:rPr>
          <w:rFonts w:ascii="Arial" w:cs="Arial" w:eastAsia="Arial" w:hAnsi="Arial"/>
          <w:b w:val="1"/>
          <w:sz w:val="24"/>
          <w:szCs w:val="24"/>
        </w:rPr>
      </w:pPr>
      <w:r w:rsidDel="00000000" w:rsidR="00000000" w:rsidRPr="00000000">
        <w:rPr>
          <w:rtl w:val="0"/>
        </w:rPr>
      </w:r>
    </w:p>
    <w:p w:rsidR="00000000" w:rsidDel="00000000" w:rsidP="00000000" w:rsidRDefault="00000000" w:rsidRPr="00000000" w14:paraId="00000143">
      <w:pPr>
        <w:jc w:val="both"/>
        <w:rPr>
          <w:rFonts w:ascii="Arial" w:cs="Arial" w:eastAsia="Arial" w:hAnsi="Arial"/>
          <w:b w:val="1"/>
          <w:sz w:val="24"/>
          <w:szCs w:val="24"/>
        </w:rPr>
      </w:pPr>
      <w:sdt>
        <w:sdtPr>
          <w:tag w:val="goog_rdk_13"/>
        </w:sdtPr>
        <w:sdtContent>
          <w:commentRangeStart w:id="13"/>
        </w:sdtContent>
      </w:sdt>
      <w:r w:rsidDel="00000000" w:rsidR="00000000" w:rsidRPr="00000000">
        <w:rPr>
          <w:rFonts w:ascii="Arial" w:cs="Arial" w:eastAsia="Arial" w:hAnsi="Arial"/>
          <w:b w:val="1"/>
          <w:sz w:val="24"/>
          <w:szCs w:val="24"/>
          <w:rtl w:val="0"/>
        </w:rPr>
        <w:t xml:space="preserve">REFERENCIAS</w:t>
      </w:r>
      <w:commentRangeEnd w:id="13"/>
      <w:r w:rsidDel="00000000" w:rsidR="00000000" w:rsidRPr="00000000">
        <w:commentReference w:id="13"/>
      </w:r>
      <w:r w:rsidDel="00000000" w:rsidR="00000000" w:rsidRPr="00000000">
        <w:rPr>
          <w:rtl w:val="0"/>
        </w:rPr>
      </w:r>
    </w:p>
    <w:p w:rsidR="00000000" w:rsidDel="00000000" w:rsidP="00000000" w:rsidRDefault="00000000" w:rsidRPr="00000000" w14:paraId="00000144">
      <w:pPr>
        <w:shd w:fill="ffffff" w:val="clear"/>
        <w:spacing w:after="200" w:line="360" w:lineRule="auto"/>
        <w:jc w:val="both"/>
        <w:rPr>
          <w:rFonts w:ascii="Arial" w:cs="Arial" w:eastAsia="Arial" w:hAnsi="Arial"/>
          <w:color w:val="000000"/>
          <w:sz w:val="24"/>
          <w:szCs w:val="24"/>
        </w:rPr>
      </w:pPr>
      <w:r w:rsidDel="00000000" w:rsidR="00000000" w:rsidRPr="00000000">
        <w:rPr>
          <w:rtl w:val="0"/>
        </w:rPr>
      </w:r>
    </w:p>
    <w:p w:rsidR="00000000" w:rsidDel="00000000" w:rsidP="00000000" w:rsidRDefault="00000000" w:rsidRPr="00000000" w14:paraId="00000145">
      <w:pPr>
        <w:spacing w:line="240" w:lineRule="auto"/>
        <w:jc w:val="both"/>
        <w:rPr>
          <w:rFonts w:ascii="Arial" w:cs="Arial" w:eastAsia="Arial" w:hAnsi="Arial"/>
          <w:color w:val="1c1c1c"/>
          <w:sz w:val="24"/>
          <w:szCs w:val="24"/>
        </w:rPr>
      </w:pPr>
      <w:r w:rsidDel="00000000" w:rsidR="00000000" w:rsidRPr="00000000">
        <w:rPr>
          <w:rFonts w:ascii="Arial" w:cs="Arial" w:eastAsia="Arial" w:hAnsi="Arial"/>
          <w:color w:val="1c1c1c"/>
          <w:sz w:val="24"/>
          <w:szCs w:val="24"/>
          <w:rtl w:val="0"/>
        </w:rPr>
        <w:t xml:space="preserve">ALVIM, Eduardo A.; GRANADO, Daniel W.; FERREIRA, Eduardo A. </w:t>
      </w:r>
      <w:r w:rsidDel="00000000" w:rsidR="00000000" w:rsidRPr="00000000">
        <w:rPr>
          <w:rFonts w:ascii="Arial" w:cs="Arial" w:eastAsia="Arial" w:hAnsi="Arial"/>
          <w:b w:val="1"/>
          <w:color w:val="1c1c1c"/>
          <w:sz w:val="24"/>
          <w:szCs w:val="24"/>
          <w:rtl w:val="0"/>
        </w:rPr>
        <w:t xml:space="preserve">Direito processual civil</w:t>
      </w:r>
      <w:r w:rsidDel="00000000" w:rsidR="00000000" w:rsidRPr="00000000">
        <w:rPr>
          <w:rFonts w:ascii="Arial" w:cs="Arial" w:eastAsia="Arial" w:hAnsi="Arial"/>
          <w:color w:val="1c1c1c"/>
          <w:sz w:val="24"/>
          <w:szCs w:val="24"/>
          <w:rtl w:val="0"/>
        </w:rPr>
        <w:t xml:space="preserve"> . SRV Editora LTDA, 2019. </w:t>
      </w:r>
      <w:r w:rsidDel="00000000" w:rsidR="00000000" w:rsidRPr="00000000">
        <w:rPr>
          <w:rFonts w:ascii="Arial" w:cs="Arial" w:eastAsia="Arial" w:hAnsi="Arial"/>
          <w:i w:val="1"/>
          <w:color w:val="1c1c1c"/>
          <w:sz w:val="24"/>
          <w:szCs w:val="24"/>
          <w:rtl w:val="0"/>
        </w:rPr>
        <w:t xml:space="preserve">E-book.</w:t>
      </w:r>
      <w:r w:rsidDel="00000000" w:rsidR="00000000" w:rsidRPr="00000000">
        <w:rPr>
          <w:rFonts w:ascii="Arial" w:cs="Arial" w:eastAsia="Arial" w:hAnsi="Arial"/>
          <w:color w:val="1c1c1c"/>
          <w:sz w:val="24"/>
          <w:szCs w:val="24"/>
          <w:rtl w:val="0"/>
        </w:rPr>
        <w:t xml:space="preserve"> ISBN 9788553611416. Disponível em: https://integrada.minhabiblioteca.com.br/#/books/9788553611416/. Acesso em: 27 maio. 2024.</w:t>
      </w:r>
    </w:p>
    <w:p w:rsidR="00000000" w:rsidDel="00000000" w:rsidP="00000000" w:rsidRDefault="00000000" w:rsidRPr="00000000" w14:paraId="00000146">
      <w:pPr>
        <w:spacing w:line="240" w:lineRule="auto"/>
        <w:jc w:val="both"/>
        <w:rPr>
          <w:rFonts w:ascii="Arial" w:cs="Arial" w:eastAsia="Arial" w:hAnsi="Arial"/>
          <w:color w:val="1c1c1c"/>
          <w:sz w:val="24"/>
          <w:szCs w:val="24"/>
        </w:rPr>
      </w:pPr>
      <w:r w:rsidDel="00000000" w:rsidR="00000000" w:rsidRPr="00000000">
        <w:rPr>
          <w:rFonts w:ascii="Arial" w:cs="Arial" w:eastAsia="Arial" w:hAnsi="Arial"/>
          <w:color w:val="1c1c1c"/>
          <w:sz w:val="24"/>
          <w:szCs w:val="24"/>
          <w:rtl w:val="0"/>
        </w:rPr>
        <w:t xml:space="preserve">BRAGA, Pérola Melissa V. </w:t>
      </w:r>
      <w:r w:rsidDel="00000000" w:rsidR="00000000" w:rsidRPr="00000000">
        <w:rPr>
          <w:rFonts w:ascii="Arial" w:cs="Arial" w:eastAsia="Arial" w:hAnsi="Arial"/>
          <w:b w:val="1"/>
          <w:color w:val="1c1c1c"/>
          <w:sz w:val="24"/>
          <w:szCs w:val="24"/>
          <w:rtl w:val="0"/>
        </w:rPr>
        <w:t xml:space="preserve">Curso de direito do idoso</w:t>
      </w:r>
      <w:r w:rsidDel="00000000" w:rsidR="00000000" w:rsidRPr="00000000">
        <w:rPr>
          <w:rFonts w:ascii="Arial" w:cs="Arial" w:eastAsia="Arial" w:hAnsi="Arial"/>
          <w:color w:val="1c1c1c"/>
          <w:sz w:val="24"/>
          <w:szCs w:val="24"/>
          <w:rtl w:val="0"/>
        </w:rPr>
        <w:t xml:space="preserve">. Grupo GEN, 2011. </w:t>
      </w:r>
      <w:r w:rsidDel="00000000" w:rsidR="00000000" w:rsidRPr="00000000">
        <w:rPr>
          <w:rFonts w:ascii="Arial" w:cs="Arial" w:eastAsia="Arial" w:hAnsi="Arial"/>
          <w:i w:val="1"/>
          <w:color w:val="1c1c1c"/>
          <w:sz w:val="24"/>
          <w:szCs w:val="24"/>
          <w:rtl w:val="0"/>
        </w:rPr>
        <w:t xml:space="preserve">E-book.</w:t>
      </w:r>
      <w:r w:rsidDel="00000000" w:rsidR="00000000" w:rsidRPr="00000000">
        <w:rPr>
          <w:rFonts w:ascii="Arial" w:cs="Arial" w:eastAsia="Arial" w:hAnsi="Arial"/>
          <w:color w:val="1c1c1c"/>
          <w:sz w:val="24"/>
          <w:szCs w:val="24"/>
          <w:rtl w:val="0"/>
        </w:rPr>
        <w:t xml:space="preserve"> ISBN 9788522480142. Disponível em: https://integrada.minhabiblioteca.com.br/#/books/9788522480142/. Acesso em: 27 maio. 2024.</w:t>
      </w:r>
    </w:p>
    <w:p w:rsidR="00000000" w:rsidDel="00000000" w:rsidP="00000000" w:rsidRDefault="00000000" w:rsidRPr="00000000" w14:paraId="00000147">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CARVALHOSA, Modesto. </w:t>
      </w:r>
      <w:r w:rsidDel="00000000" w:rsidR="00000000" w:rsidRPr="00000000">
        <w:rPr>
          <w:rFonts w:ascii="Arial" w:cs="Arial" w:eastAsia="Arial" w:hAnsi="Arial"/>
          <w:b w:val="1"/>
          <w:sz w:val="24"/>
          <w:szCs w:val="24"/>
          <w:rtl w:val="0"/>
        </w:rPr>
        <w:t xml:space="preserve">Comentários à Lei de Sociedades Anônimas. 4ª ed.</w:t>
      </w:r>
      <w:r w:rsidDel="00000000" w:rsidR="00000000" w:rsidRPr="00000000">
        <w:rPr>
          <w:rFonts w:ascii="Arial" w:cs="Arial" w:eastAsia="Arial" w:hAnsi="Arial"/>
          <w:sz w:val="24"/>
          <w:szCs w:val="24"/>
          <w:rtl w:val="0"/>
        </w:rPr>
        <w:t xml:space="preserve"> São Paulo: Saraiva, 2010.</w:t>
      </w:r>
    </w:p>
    <w:p w:rsidR="00000000" w:rsidDel="00000000" w:rsidP="00000000" w:rsidRDefault="00000000" w:rsidRPr="00000000" w14:paraId="00000148">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COELHO, Fábio Ulhoa. </w:t>
      </w:r>
      <w:r w:rsidDel="00000000" w:rsidR="00000000" w:rsidRPr="00000000">
        <w:rPr>
          <w:rFonts w:ascii="Arial" w:cs="Arial" w:eastAsia="Arial" w:hAnsi="Arial"/>
          <w:b w:val="1"/>
          <w:sz w:val="24"/>
          <w:szCs w:val="24"/>
          <w:rtl w:val="0"/>
        </w:rPr>
        <w:t xml:space="preserve">Curso de Direito Comercial. 16ª ed</w:t>
      </w:r>
      <w:r w:rsidDel="00000000" w:rsidR="00000000" w:rsidRPr="00000000">
        <w:rPr>
          <w:rFonts w:ascii="Arial" w:cs="Arial" w:eastAsia="Arial" w:hAnsi="Arial"/>
          <w:sz w:val="24"/>
          <w:szCs w:val="24"/>
          <w:rtl w:val="0"/>
        </w:rPr>
        <w:t xml:space="preserve">. São Paulo: Saraiva, 2012.</w:t>
      </w:r>
    </w:p>
    <w:p w:rsidR="00000000" w:rsidDel="00000000" w:rsidP="00000000" w:rsidRDefault="00000000" w:rsidRPr="00000000" w14:paraId="00000149">
      <w:pPr>
        <w:spacing w:line="240" w:lineRule="auto"/>
        <w:jc w:val="both"/>
        <w:rPr>
          <w:rFonts w:ascii="Arial" w:cs="Arial" w:eastAsia="Arial" w:hAnsi="Arial"/>
          <w:sz w:val="24"/>
          <w:szCs w:val="24"/>
        </w:rPr>
      </w:pPr>
      <w:r w:rsidDel="00000000" w:rsidR="00000000" w:rsidRPr="00000000">
        <w:rPr>
          <w:rFonts w:ascii="Arial" w:cs="Arial" w:eastAsia="Arial" w:hAnsi="Arial"/>
          <w:color w:val="1c1c1c"/>
          <w:sz w:val="24"/>
          <w:szCs w:val="24"/>
          <w:rtl w:val="0"/>
        </w:rPr>
        <w:t xml:space="preserve">Diniz, Maria H. </w:t>
      </w:r>
      <w:r w:rsidDel="00000000" w:rsidR="00000000" w:rsidRPr="00000000">
        <w:rPr>
          <w:rFonts w:ascii="Arial" w:cs="Arial" w:eastAsia="Arial" w:hAnsi="Arial"/>
          <w:b w:val="1"/>
          <w:color w:val="1c1c1c"/>
          <w:sz w:val="24"/>
          <w:szCs w:val="24"/>
          <w:rtl w:val="0"/>
        </w:rPr>
        <w:t xml:space="preserve">Manual de direito civil</w:t>
      </w:r>
      <w:r w:rsidDel="00000000" w:rsidR="00000000" w:rsidRPr="00000000">
        <w:rPr>
          <w:rFonts w:ascii="Arial" w:cs="Arial" w:eastAsia="Arial" w:hAnsi="Arial"/>
          <w:color w:val="1c1c1c"/>
          <w:sz w:val="24"/>
          <w:szCs w:val="24"/>
          <w:rtl w:val="0"/>
        </w:rPr>
        <w:t xml:space="preserve">. Disponível em: Minha Biblioteca, (4th edição). SRV Editora LTDA, 2022.</w:t>
      </w:r>
      <w:r w:rsidDel="00000000" w:rsidR="00000000" w:rsidRPr="00000000">
        <w:rPr>
          <w:rtl w:val="0"/>
        </w:rPr>
      </w:r>
    </w:p>
    <w:p w:rsidR="00000000" w:rsidDel="00000000" w:rsidP="00000000" w:rsidRDefault="00000000" w:rsidRPr="00000000" w14:paraId="0000014A">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Diniz, Maria H. Manual de direito civil. Disponível em: Minha Biblioteca, (4th edição). SRV Editora LTDA, 2022.</w:t>
      </w:r>
    </w:p>
    <w:p w:rsidR="00000000" w:rsidDel="00000000" w:rsidP="00000000" w:rsidRDefault="00000000" w:rsidRPr="00000000" w14:paraId="0000014B">
      <w:pPr>
        <w:spacing w:line="240" w:lineRule="auto"/>
        <w:jc w:val="both"/>
        <w:rPr>
          <w:rFonts w:ascii="Arial" w:cs="Arial" w:eastAsia="Arial" w:hAnsi="Arial"/>
          <w:color w:val="1c1c1c"/>
          <w:sz w:val="24"/>
          <w:szCs w:val="24"/>
        </w:rPr>
      </w:pPr>
      <w:r w:rsidDel="00000000" w:rsidR="00000000" w:rsidRPr="00000000">
        <w:rPr>
          <w:rFonts w:ascii="Arial" w:cs="Arial" w:eastAsia="Arial" w:hAnsi="Arial"/>
          <w:color w:val="1c1c1c"/>
          <w:sz w:val="24"/>
          <w:szCs w:val="24"/>
          <w:rtl w:val="0"/>
        </w:rPr>
        <w:t xml:space="preserve">Donizetti, Elpídio, et al. </w:t>
      </w:r>
      <w:r w:rsidDel="00000000" w:rsidR="00000000" w:rsidRPr="00000000">
        <w:rPr>
          <w:rFonts w:ascii="Arial" w:cs="Arial" w:eastAsia="Arial" w:hAnsi="Arial"/>
          <w:b w:val="1"/>
          <w:color w:val="1c1c1c"/>
          <w:sz w:val="24"/>
          <w:szCs w:val="24"/>
          <w:rtl w:val="0"/>
        </w:rPr>
        <w:t xml:space="preserve">Curso de Direito Civil</w:t>
      </w:r>
      <w:r w:rsidDel="00000000" w:rsidR="00000000" w:rsidRPr="00000000">
        <w:rPr>
          <w:rFonts w:ascii="Arial" w:cs="Arial" w:eastAsia="Arial" w:hAnsi="Arial"/>
          <w:color w:val="1c1c1c"/>
          <w:sz w:val="24"/>
          <w:szCs w:val="24"/>
          <w:rtl w:val="0"/>
        </w:rPr>
        <w:t xml:space="preserve">. Disponível em: Minha Biblioteca, (11th edição). Grupo GEN, 2023.</w:t>
      </w:r>
    </w:p>
    <w:p w:rsidR="00000000" w:rsidDel="00000000" w:rsidP="00000000" w:rsidRDefault="00000000" w:rsidRPr="00000000" w14:paraId="0000014C">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Donizetti, Elpídio, et al. Curso de Direito Civil. Disponível em: Minha Biblioteca, (11th edição). Grupo GEN, 2023.</w:t>
      </w:r>
    </w:p>
    <w:p w:rsidR="00000000" w:rsidDel="00000000" w:rsidP="00000000" w:rsidRDefault="00000000" w:rsidRPr="00000000" w14:paraId="0000014D">
      <w:pPr>
        <w:spacing w:line="240" w:lineRule="auto"/>
        <w:jc w:val="both"/>
        <w:rPr>
          <w:rFonts w:ascii="Arial" w:cs="Arial" w:eastAsia="Arial" w:hAnsi="Arial"/>
          <w:sz w:val="24"/>
          <w:szCs w:val="24"/>
        </w:rPr>
      </w:pPr>
      <w:hyperlink r:id="rId14">
        <w:r w:rsidDel="00000000" w:rsidR="00000000" w:rsidRPr="00000000">
          <w:rPr>
            <w:rFonts w:ascii="Arial" w:cs="Arial" w:eastAsia="Arial" w:hAnsi="Arial"/>
            <w:color w:val="0000ff"/>
            <w:sz w:val="24"/>
            <w:szCs w:val="24"/>
            <w:u w:val="single"/>
            <w:rtl w:val="0"/>
          </w:rPr>
          <w:t xml:space="preserve">https://www.jusbrasil.com.br/jurisprudencia/</w:t>
        </w:r>
      </w:hyperlink>
      <w:r w:rsidDel="00000000" w:rsidR="00000000" w:rsidRPr="00000000">
        <w:rPr>
          <w:rtl w:val="0"/>
        </w:rPr>
      </w:r>
    </w:p>
    <w:p w:rsidR="00000000" w:rsidDel="00000000" w:rsidP="00000000" w:rsidRDefault="00000000" w:rsidRPr="00000000" w14:paraId="0000014E">
      <w:pPr>
        <w:spacing w:line="240" w:lineRule="auto"/>
        <w:jc w:val="both"/>
        <w:rPr>
          <w:rFonts w:ascii="Arial" w:cs="Arial" w:eastAsia="Arial" w:hAnsi="Arial"/>
          <w:sz w:val="24"/>
          <w:szCs w:val="24"/>
        </w:rPr>
      </w:pPr>
      <w:hyperlink r:id="rId15">
        <w:r w:rsidDel="00000000" w:rsidR="00000000" w:rsidRPr="00000000">
          <w:rPr>
            <w:rFonts w:ascii="Arial" w:cs="Arial" w:eastAsia="Arial" w:hAnsi="Arial"/>
            <w:color w:val="0000ff"/>
            <w:sz w:val="24"/>
            <w:szCs w:val="24"/>
            <w:u w:val="single"/>
            <w:rtl w:val="0"/>
          </w:rPr>
          <w:t xml:space="preserve">https://www.jusbrasil.com.br/jurisprudencia/tj-sp/206632160</w:t>
        </w:r>
      </w:hyperlink>
      <w:r w:rsidDel="00000000" w:rsidR="00000000" w:rsidRPr="00000000">
        <w:rPr>
          <w:rtl w:val="0"/>
        </w:rPr>
      </w:r>
    </w:p>
    <w:p w:rsidR="00000000" w:rsidDel="00000000" w:rsidP="00000000" w:rsidRDefault="00000000" w:rsidRPr="00000000" w14:paraId="0000014F">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Lei nº 13.105, de 16 de março de 2015 – Código de Processo Civil</w:t>
      </w:r>
    </w:p>
    <w:p w:rsidR="00000000" w:rsidDel="00000000" w:rsidP="00000000" w:rsidRDefault="00000000" w:rsidRPr="00000000" w14:paraId="00000150">
      <w:pPr>
        <w:spacing w:line="240" w:lineRule="auto"/>
        <w:jc w:val="both"/>
        <w:rPr>
          <w:rFonts w:ascii="Arial" w:cs="Arial" w:eastAsia="Arial" w:hAnsi="Arial"/>
          <w:color w:val="1c1c1c"/>
          <w:sz w:val="24"/>
          <w:szCs w:val="24"/>
        </w:rPr>
      </w:pPr>
      <w:r w:rsidDel="00000000" w:rsidR="00000000" w:rsidRPr="00000000">
        <w:rPr>
          <w:rFonts w:ascii="Arial" w:cs="Arial" w:eastAsia="Arial" w:hAnsi="Arial"/>
          <w:b w:val="1"/>
          <w:color w:val="1c1c1c"/>
          <w:sz w:val="24"/>
          <w:szCs w:val="24"/>
          <w:rtl w:val="0"/>
        </w:rPr>
        <w:t xml:space="preserve"> </w:t>
      </w:r>
      <w:r w:rsidDel="00000000" w:rsidR="00000000" w:rsidRPr="00000000">
        <w:rPr>
          <w:rFonts w:ascii="Arial" w:cs="Arial" w:eastAsia="Arial" w:hAnsi="Arial"/>
          <w:color w:val="1c1c1c"/>
          <w:sz w:val="24"/>
          <w:szCs w:val="24"/>
          <w:rtl w:val="0"/>
        </w:rPr>
        <w:t xml:space="preserve">Oliveira, Carlos E. Elias, D. e João Costa-Neto. </w:t>
      </w:r>
      <w:r w:rsidDel="00000000" w:rsidR="00000000" w:rsidRPr="00000000">
        <w:rPr>
          <w:rFonts w:ascii="Arial" w:cs="Arial" w:eastAsia="Arial" w:hAnsi="Arial"/>
          <w:b w:val="1"/>
          <w:color w:val="1c1c1c"/>
          <w:sz w:val="24"/>
          <w:szCs w:val="24"/>
          <w:rtl w:val="0"/>
        </w:rPr>
        <w:t xml:space="preserve">Direito Civil - Vol</w:t>
      </w:r>
      <w:r w:rsidDel="00000000" w:rsidR="00000000" w:rsidRPr="00000000">
        <w:rPr>
          <w:rFonts w:ascii="Arial" w:cs="Arial" w:eastAsia="Arial" w:hAnsi="Arial"/>
          <w:color w:val="1c1c1c"/>
          <w:sz w:val="24"/>
          <w:szCs w:val="24"/>
          <w:rtl w:val="0"/>
        </w:rPr>
        <w:t xml:space="preserve">. Disponível em: Minha Biblioteca, (3rd edição). Grupo GEN, 2024.</w:t>
      </w:r>
    </w:p>
    <w:p w:rsidR="00000000" w:rsidDel="00000000" w:rsidP="00000000" w:rsidRDefault="00000000" w:rsidRPr="00000000" w14:paraId="00000151">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Oliveira, Carlos E. Elias, D. e João Costa-Neto. Direito Civil - Vol. Disponível em: Minha Biblioteca, (3rd edição). Grupo GEN, 2024.</w:t>
      </w:r>
    </w:p>
    <w:p w:rsidR="00000000" w:rsidDel="00000000" w:rsidP="00000000" w:rsidRDefault="00000000" w:rsidRPr="00000000" w14:paraId="00000152">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STJ, REsp 1.321.263/RS, Rel. Min. Luis Felipe Salomão, Quarta Turma, julgado em 13/11/2012.</w:t>
      </w:r>
    </w:p>
    <w:p w:rsidR="00000000" w:rsidDel="00000000" w:rsidP="00000000" w:rsidRDefault="00000000" w:rsidRPr="00000000" w14:paraId="00000153">
      <w:pPr>
        <w:spacing w:line="240" w:lineRule="auto"/>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TJ-DF - APC: XXXXX, Relator: SANDOVAL OLIVEIRA, Data de Julgamento: 15/07/2015, 5ª Turma Cível, Data de Publicação: Publicado no DJE : 31/07/2015 . Pág.: 148</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240" w:lineRule="auto"/>
        <w:ind w:left="0" w:right="0" w:firstLine="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heading=h.2et92p0" w:id="4"/>
      <w:bookmarkEnd w:id="4"/>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(TJ-SP - APL: XXXXX20128260038 SP XXXXX-46.2012.8.26.0038, Relator: Alexandre Lazzarini, Data de Julgamento: 07/07/2015, 9ª Câmara de Direito Privado, Data de Publicação: 07/07/2015)</w:t>
      </w:r>
    </w:p>
    <w:p w:rsidR="00000000" w:rsidDel="00000000" w:rsidP="00000000" w:rsidRDefault="00000000" w:rsidRPr="00000000" w14:paraId="00000155">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sz w:val="24"/>
          <w:szCs w:val="24"/>
          <w:highlight w:val="white"/>
          <w:rtl w:val="0"/>
        </w:rPr>
        <w:t xml:space="preserve">TJ-SP - EMBDECCV: XXXXX20138260000 SP XXXXX-10.2013.8.26.0000, Relator: Carlos Alberto de Salles, Data de Julgamento: 18/03/2014, 3ª Câmara de Direito Privado, Data de Publicação: 20/03/2014)</w:t>
      </w:r>
      <w:r w:rsidDel="00000000" w:rsidR="00000000" w:rsidRPr="00000000">
        <w:rPr>
          <w:rtl w:val="0"/>
        </w:rPr>
      </w:r>
    </w:p>
    <w:p w:rsidR="00000000" w:rsidDel="00000000" w:rsidP="00000000" w:rsidRDefault="00000000" w:rsidRPr="00000000" w14:paraId="00000156">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TJSP, Apelação Cível 1004939-40.2016.8.26.0224, Rel. Des. Francisco Loureiro, 1ª Câmara de Direito Empresarial, julgado em 18/09/2017.</w:t>
      </w:r>
    </w:p>
    <w:p w:rsidR="00000000" w:rsidDel="00000000" w:rsidP="00000000" w:rsidRDefault="00000000" w:rsidRPr="00000000" w14:paraId="00000157">
      <w:pPr>
        <w:spacing w:line="240" w:lineRule="auto"/>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WAMBIER, Luiz; TALAMINII, Eduardo. </w:t>
      </w:r>
      <w:r w:rsidDel="00000000" w:rsidR="00000000" w:rsidRPr="00000000">
        <w:rPr>
          <w:rFonts w:ascii="Arial" w:cs="Arial" w:eastAsia="Arial" w:hAnsi="Arial"/>
          <w:b w:val="1"/>
          <w:sz w:val="24"/>
          <w:szCs w:val="24"/>
          <w:rtl w:val="0"/>
        </w:rPr>
        <w:t xml:space="preserve">Curso Avançado de Processo Civil – Vol 2 – Ed.2022</w:t>
      </w:r>
      <w:r w:rsidDel="00000000" w:rsidR="00000000" w:rsidRPr="00000000">
        <w:rPr>
          <w:rFonts w:ascii="Arial" w:cs="Arial" w:eastAsia="Arial" w:hAnsi="Arial"/>
          <w:sz w:val="24"/>
          <w:szCs w:val="24"/>
          <w:rtl w:val="0"/>
        </w:rPr>
        <w:t xml:space="preserve">. São Paulo (SP); Editora Revista dos Tribunais. 2022.</w:t>
      </w:r>
    </w:p>
    <w:sectPr>
      <w:type w:val="nextPage"/>
      <w:pgSz w:h="16838" w:w="11906" w:orient="portrait"/>
      <w:pgMar w:bottom="283" w:top="1133" w:left="156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comment w:author="Rosana Ribeiro da Silva" w:id="4" w:date="2024-06-03T17:34:12Z">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w:t>
      </w:r>
    </w:p>
  </w:comment>
  <w:comment w:author="Rosana Ribeiro da Silva" w:id="3" w:date="2024-06-03T17:32:28Z">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redação não está boa</w:t>
      </w:r>
    </w:p>
  </w:comment>
  <w:comment w:author="Rosana Ribeiro da Silva" w:id="13" w:date="2024-06-03T17:37:20Z">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erro de grafia evitável com uma simples e singela correção</w:t>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erros de formatação na bibliografia</w:t>
      </w:r>
    </w:p>
  </w:comment>
  <w:comment w:author="Ildelisa Cabral" w:id="10" w:date="2024-06-04T00:17:11Z">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casal tem direito ao recebimento dos móveis planejados, pois o caso se enquadra na exceção do artigo 94 do Código Civil: circunstâncias do caso (a blogueira enfatizou os móveis para a venda do apartamento). Em razão do embasamento legal estar correto, nota 1,0 em Direito Civil.</w:t>
      </w:r>
    </w:p>
  </w:comment>
  <w:comment w:author="Rosana Ribeiro da Silva" w:id="2" w:date="2024-06-03T17:31:55Z">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novamente</w:t>
      </w:r>
    </w:p>
  </w:comment>
  <w:comment w:author="Ildelisa Cabral" w:id="7" w:date="2024-06-04T00:07:41Z">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Espaçamento diferente .....</w:t>
      </w:r>
    </w:p>
  </w:comment>
  <w:comment w:author="Rosana Ribeiro da Silva" w:id="1" w:date="2024-06-03T17:31:26Z">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novamente</w:t>
      </w:r>
    </w:p>
  </w:comment>
  <w:comment w:author="Rosana Ribeiro da Silva" w:id="0" w:date="2024-06-03T17:31:17Z">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erros de grafia que uma simples revisão bastariam para evitar</w:t>
      </w:r>
    </w:p>
  </w:comment>
  <w:comment w:author="Rosana Ribeiro da Silva" w:id="11" w:date="2024-06-03T17:36:50Z">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faltou a finalização como indicado no modelo e no slide</w:t>
      </w:r>
    </w:p>
  </w:comment>
  <w:comment w:author="Ildelisa Cabral" w:id="9" w:date="2024-06-04T00:14:11Z">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Aqui deve estar faltando alguma palavra, pois as pertenças, em regra, por disposição legal, não acompanham o bem principal.</w:t>
      </w:r>
    </w:p>
  </w:comment>
  <w:comment w:author="Rosana Ribeiro da Silva" w:id="5" w:date="2024-06-03T17:35:22Z">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desnecessária essa informação</w:t>
      </w:r>
    </w:p>
  </w:comment>
  <w:comment w:author="Ildelisa Cabral" w:id="8" w:date="2024-06-04T00:09:18Z">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tem parágrafo.</w:t>
      </w:r>
    </w:p>
  </w:comment>
  <w:comment w:author="Rosana Ribeiro da Silva" w:id="6" w:date="2024-06-03T17:37:28Z">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w:t>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 em processo</w:t>
      </w:r>
    </w:p>
  </w:comment>
  <w:comment w:author="Joao Fernando Alves Palomo" w:id="12" w:date="2024-05-30T12:09:39Z">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com boa fundamentação teórica doutrinária e jurisprudencial</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 todo, o trabalho carece de uma conclusão geral, em que pese cada tópico ter a sua própria conclusão</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De resto, faltou observar espaços em alguns parágrafos, mas a isso vamos entender que o trabalho desformatou quando lançado na plataforma, o que é possível de ter acontecido</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 nota 2,0</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15:commentEx w15:paraId="00000161" w15:done="0"/>
  <w15:commentEx w15:paraId="00000162" w15:done="0"/>
  <w15:commentEx w15:paraId="00000165" w15:done="0"/>
  <w15:commentEx w15:paraId="00000166" w15:done="0"/>
  <w15:commentEx w15:paraId="00000167" w15:done="0"/>
  <w15:commentEx w15:paraId="00000168" w15:done="0"/>
  <w15:commentEx w15:paraId="00000169" w15:done="0"/>
  <w15:commentEx w15:paraId="0000016A" w15:done="0"/>
  <w15:commentEx w15:paraId="0000016B" w15:done="0"/>
  <w15:commentEx w15:paraId="0000016C" w15:done="0"/>
  <w15:commentEx w15:paraId="0000016D" w15:done="0"/>
  <w15:commentEx w15:paraId="0000016E" w15:done="0"/>
  <w15:commentEx w15:paraId="00000170" w15:done="0"/>
  <w15:commentEx w15:paraId="00000174"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C">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D">
    <w:pPr>
      <w:pBdr>
        <w:bottom w:color="000000" w:space="1" w:sz="12" w:val="single"/>
      </w:pBd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E">
    <w:pPr>
      <w:tabs>
        <w:tab w:val="center" w:leader="none" w:pos="4252"/>
        <w:tab w:val="right" w:leader="none"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F">
    <w:pPr>
      <w:tabs>
        <w:tab w:val="center" w:leader="none" w:pos="4252"/>
        <w:tab w:val="right" w:leader="none"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Iniciação no Direito Privado</w:t>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60">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58">
    <w:pPr>
      <w:tabs>
        <w:tab w:val="center" w:leader="none" w:pos="4252"/>
        <w:tab w:val="right" w:leader="none" w:pos="8504"/>
      </w:tabs>
      <w:spacing w:after="0" w:line="240" w:lineRule="auto"/>
      <w:rPr/>
    </w:pPr>
    <w:r w:rsidDel="00000000" w:rsidR="00000000" w:rsidRPr="00000000">
      <w:rPr>
        <w:rtl w:val="0"/>
      </w:rPr>
    </w:r>
  </w:p>
  <w:tbl>
    <w:tblPr>
      <w:tblStyle w:val="Table4"/>
      <w:tblW w:w="9165.0" w:type="dxa"/>
      <w:jc w:val="left"/>
      <w:tblInd w:w="-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59">
          <w:pPr>
            <w:tabs>
              <w:tab w:val="center" w:leader="none" w:pos="4252"/>
              <w:tab w:val="right" w:leader="none" w:pos="8504"/>
            </w:tabs>
            <w:rPr/>
          </w:pPr>
          <w:r w:rsidDel="00000000" w:rsidR="00000000" w:rsidRPr="00000000">
            <w:rPr/>
            <w:drawing>
              <wp:inline distB="114300" distT="114300" distL="114300" distR="114300">
                <wp:extent cx="966788" cy="287734"/>
                <wp:effectExtent b="0" l="0" r="0" t="0"/>
                <wp:docPr id="5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5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5B">
    <w:pPr>
      <w:tabs>
        <w:tab w:val="center" w:leader="none" w:pos="4252"/>
        <w:tab w:val="right" w:leader="none"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decimal"/>
      <w:lvlText w:val="%2."/>
      <w:lvlJc w:val="left"/>
      <w:pPr>
        <w:ind w:left="360" w:hanging="360"/>
      </w:pPr>
      <w:rPr>
        <w:b w:val="1"/>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9"/>
    <w:pPr>
      <w:spacing w:after="0" w:line="240" w:lineRule="auto"/>
    </w:pPr>
    <w:tblPr>
      <w:tblStyleRowBandSize w:val="1"/>
      <w:tblStyleColBandSize w:val="1"/>
      <w:tblCellMar>
        <w:left w:w="108.0" w:type="dxa"/>
        <w:right w:w="108.0" w:type="dxa"/>
      </w:tblCellMar>
    </w:tblPr>
  </w:style>
  <w:style w:type="table" w:styleId="a0" w:customStyle="1">
    <w:basedOn w:val="TableNormal9"/>
    <w:pPr>
      <w:spacing w:after="0" w:line="240" w:lineRule="auto"/>
    </w:pPr>
    <w:tblPr>
      <w:tblStyleRowBandSize w:val="1"/>
      <w:tblStyleColBandSize w:val="1"/>
      <w:tblCellMar>
        <w:left w:w="108.0" w:type="dxa"/>
        <w:right w:w="108.0" w:type="dxa"/>
      </w:tblCellMar>
    </w:tblPr>
  </w:style>
  <w:style w:type="table" w:styleId="a1" w:customStyle="1">
    <w:basedOn w:val="TableNormal9"/>
    <w:pPr>
      <w:spacing w:after="0" w:line="240" w:lineRule="auto"/>
    </w:pPr>
    <w:tblPr>
      <w:tblStyleRowBandSize w:val="1"/>
      <w:tblStyleColBandSize w:val="1"/>
      <w:tblCellMar>
        <w:left w:w="108.0" w:type="dxa"/>
        <w:right w:w="108.0" w:type="dxa"/>
      </w:tblCellMar>
    </w:tblPr>
  </w:style>
  <w:style w:type="table" w:styleId="a2" w:customStyle="1">
    <w:basedOn w:val="TableNormal9"/>
    <w:pPr>
      <w:spacing w:after="0" w:line="240" w:lineRule="auto"/>
    </w:pPr>
    <w:tblPr>
      <w:tblStyleRowBandSize w:val="1"/>
      <w:tblStyleColBandSize w:val="1"/>
      <w:tblCellMar>
        <w:left w:w="108.0" w:type="dxa"/>
        <w:right w:w="108.0" w:type="dxa"/>
      </w:tblCellMar>
    </w:tblPr>
  </w:style>
  <w:style w:type="table" w:styleId="a3" w:customStyle="1">
    <w:basedOn w:val="TableNormal9"/>
    <w:pPr>
      <w:spacing w:after="0" w:line="240" w:lineRule="auto"/>
    </w:pPr>
    <w:tblPr>
      <w:tblStyleRowBandSize w:val="1"/>
      <w:tblStyleColBandSize w:val="1"/>
      <w:tblCellMar>
        <w:left w:w="108.0" w:type="dxa"/>
        <w:right w:w="108.0" w:type="dxa"/>
      </w:tblCellMar>
    </w:tblPr>
  </w:style>
  <w:style w:type="table" w:styleId="a4" w:customStyle="1">
    <w:basedOn w:val="TableNormal9"/>
    <w:pPr>
      <w:spacing w:after="0" w:line="240" w:lineRule="auto"/>
    </w:pPr>
    <w:tblPr>
      <w:tblStyleRowBandSize w:val="1"/>
      <w:tblStyleColBandSize w:val="1"/>
      <w:tblCellMar>
        <w:left w:w="108.0" w:type="dxa"/>
        <w:right w:w="108.0" w:type="dxa"/>
      </w:tblCellMar>
    </w:tblPr>
  </w:style>
  <w:style w:type="table" w:styleId="a5" w:customStyle="1">
    <w:basedOn w:val="TableNormal9"/>
    <w:pPr>
      <w:spacing w:after="0" w:line="240" w:lineRule="auto"/>
    </w:pPr>
    <w:tblPr>
      <w:tblStyleRowBandSize w:val="1"/>
      <w:tblStyleColBandSize w:val="1"/>
      <w:tblCellMar>
        <w:left w:w="108.0" w:type="dxa"/>
        <w:right w:w="108.0" w:type="dxa"/>
      </w:tblCellMar>
    </w:tblPr>
  </w:style>
  <w:style w:type="table" w:styleId="a6" w:customStyle="1">
    <w:basedOn w:val="TableNormal9"/>
    <w:pPr>
      <w:spacing w:after="0" w:line="240" w:lineRule="auto"/>
    </w:pPr>
    <w:tblPr>
      <w:tblStyleRowBandSize w:val="1"/>
      <w:tblStyleColBandSize w:val="1"/>
      <w:tblCellMar>
        <w:left w:w="108.0" w:type="dxa"/>
        <w:right w:w="108.0" w:type="dxa"/>
      </w:tblCellMar>
    </w:tblPr>
  </w:style>
  <w:style w:type="table" w:styleId="a7"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9"/>
    <w:pPr>
      <w:spacing w:after="0" w:line="240" w:lineRule="auto"/>
    </w:pPr>
    <w:tblPr>
      <w:tblStyleRowBandSize w:val="1"/>
      <w:tblStyleColBandSize w:val="1"/>
      <w:tblCellMar>
        <w:left w:w="108.0" w:type="dxa"/>
        <w:right w:w="108.0" w:type="dxa"/>
      </w:tblCellMar>
    </w:tblPr>
  </w:style>
  <w:style w:type="table" w:styleId="a9" w:customStyle="1">
    <w:basedOn w:val="TableNormal9"/>
    <w:pPr>
      <w:spacing w:after="0" w:line="240" w:lineRule="auto"/>
    </w:pPr>
    <w:tblPr>
      <w:tblStyleRowBandSize w:val="1"/>
      <w:tblStyleColBandSize w:val="1"/>
      <w:tblCellMar>
        <w:left w:w="108.0" w:type="dxa"/>
        <w:right w:w="108.0" w:type="dxa"/>
      </w:tblCellMar>
    </w:tblPr>
  </w:style>
  <w:style w:type="table" w:styleId="aa"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7"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8"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9"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a"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b"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c"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d"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e"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f"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f0"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f1"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table" w:styleId="aff2" w:customStyle="1">
    <w:basedOn w:val="TableNormal9"/>
    <w:pPr>
      <w:spacing w:after="0"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FF7C2C"/>
    <w:pPr>
      <w:ind w:left="720"/>
      <w:contextualSpacing w:val="1"/>
    </w:pPr>
  </w:style>
  <w:style w:type="character" w:styleId="Hyperlink">
    <w:name w:val="Hyperlink"/>
    <w:basedOn w:val="Fontepargpadro"/>
    <w:uiPriority w:val="99"/>
    <w:semiHidden w:val="1"/>
    <w:unhideWhenUsed w:val="1"/>
    <w:rsid w:val="00684A88"/>
    <w:rPr>
      <w:color w:val="0000ff"/>
      <w:u w:val="single"/>
    </w:rPr>
  </w:style>
  <w:style w:type="character" w:styleId="Forte">
    <w:name w:val="Strong"/>
    <w:basedOn w:val="Fontepargpadro"/>
    <w:uiPriority w:val="22"/>
    <w:qFormat w:val="1"/>
    <w:rsid w:val="00F921E6"/>
    <w:rPr>
      <w:b w:val="1"/>
      <w:bCs w:val="1"/>
    </w:rPr>
  </w:style>
  <w:style w:type="paragraph" w:styleId="NormalWeb">
    <w:name w:val="Normal (Web)"/>
    <w:basedOn w:val="Normal"/>
    <w:uiPriority w:val="99"/>
    <w:unhideWhenUsed w:val="1"/>
    <w:rsid w:val="00E06EFE"/>
    <w:pPr>
      <w:spacing w:after="100" w:afterAutospacing="1" w:before="100" w:beforeAutospacing="1" w:line="240" w:lineRule="auto"/>
    </w:pPr>
    <w:rPr>
      <w:rFonts w:ascii="Times New Roman" w:cs="Times New Roman" w:eastAsia="Times New Roman" w:hAnsi="Times New Roman"/>
      <w:sz w:val="24"/>
      <w:szCs w:val="24"/>
    </w:rPr>
  </w:style>
  <w:style w:type="character" w:styleId="nfase">
    <w:name w:val="Emphasis"/>
    <w:basedOn w:val="Fontepargpadro"/>
    <w:uiPriority w:val="20"/>
    <w:qFormat w:val="1"/>
    <w:rsid w:val="00883C8F"/>
    <w:rPr>
      <w:i w:val="1"/>
      <w:iCs w:val="1"/>
    </w:rPr>
  </w:style>
  <w:style w:type="paragraph" w:styleId="indent" w:customStyle="1">
    <w:name w:val="indent"/>
    <w:basedOn w:val="Normal"/>
    <w:rsid w:val="00C9263E"/>
    <w:pPr>
      <w:spacing w:after="100" w:afterAutospacing="1" w:before="100" w:beforeAutospacing="1" w:line="240" w:lineRule="auto"/>
    </w:pPr>
    <w:rPr>
      <w:rFonts w:ascii="Times New Roman" w:cs="Times New Roman" w:eastAsia="Times New Roman" w:hAnsi="Times New Roman"/>
      <w:sz w:val="24"/>
      <w:szCs w:val="24"/>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 w:type="character" w:styleId="CommentReference">
    <w:name w:val="annotation reference"/>
    <w:basedOn w:val="DefaultParagraphFont"/>
    <w:uiPriority w:val="99"/>
    <w:semiHidden w:val="1"/>
    <w:unhideWhenUsed w:val="1"/>
    <w:rPr>
      <w:sz w:val="16"/>
      <w:szCs w:val="16"/>
    </w:rPr>
  </w:style>
  <w:style w:type="paragraph" w:styleId="CommentSubject">
    <w:name w:val="annotation subject"/>
    <w:basedOn w:val="CommentText"/>
    <w:next w:val="CommentText"/>
    <w:link w:val="CommentSubjectChar"/>
    <w:uiPriority w:val="99"/>
    <w:semiHidden w:val="1"/>
    <w:unhideWhenUsed w:val="1"/>
    <w:rPr>
      <w:b w:val="1"/>
      <w:bCs w:val="1"/>
    </w:rPr>
  </w:style>
  <w:style w:type="character" w:styleId="CommentSubjectChar" w:customStyle="1">
    <w:name w:val="Comment Subject Char"/>
    <w:basedOn w:val="CommentTextChar"/>
    <w:link w:val="CommentSubject"/>
    <w:uiPriority w:val="99"/>
    <w:semiHidden w:val="1"/>
    <w:rPr>
      <w:b w:val="1"/>
      <w:bCs w:val="1"/>
      <w:sz w:val="20"/>
      <w:szCs w:val="20"/>
    </w:rPr>
  </w:style>
  <w:style w:type="paragraph" w:styleId="CommentText">
    <w:name w:val="annotation text"/>
    <w:basedOn w:val="Normal"/>
    <w:link w:val="CommentTextChar"/>
    <w:uiPriority w:val="99"/>
    <w:semiHidden w:val="1"/>
    <w:unhideWhenUsed w:val="1"/>
    <w:pPr>
      <w:spacing w:line="240" w:lineRule="auto"/>
    </w:pPr>
    <w:rPr>
      <w:sz w:val="20"/>
      <w:szCs w:val="20"/>
    </w:rPr>
  </w:style>
  <w:style w:type="character" w:styleId="CommentTextChar" w:customStyle="1">
    <w:name w:val="Comment Text Char"/>
    <w:basedOn w:val="DefaultParagraphFont"/>
    <w:link w:val="CommentText"/>
    <w:uiPriority w:val="99"/>
    <w:semiHidden w:val="1"/>
    <w:rPr>
      <w:sz w:val="20"/>
      <w:szCs w:val="20"/>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footer" Target="footer1.xml"/><Relationship Id="rId10" Type="http://schemas.openxmlformats.org/officeDocument/2006/relationships/header" Target="header1.xml"/><Relationship Id="rId13" Type="http://schemas.openxmlformats.org/officeDocument/2006/relationships/hyperlink" Target="https://jigsaw.minhabiblioteca.com.br/books/9788530994419/epub/OEBPS/xhtml/13_chapter02.xhtml#pg344a2" TargetMode="Externa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15" Type="http://schemas.openxmlformats.org/officeDocument/2006/relationships/hyperlink" Target="https://www.jusbrasil.com.br/jurisprudencia/tj-sp/206632160" TargetMode="External"/><Relationship Id="rId14" Type="http://schemas.openxmlformats.org/officeDocument/2006/relationships/hyperlink" Target="https://www.jusbrasil.com.br/jurisprudencia/"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Ov08bNJgGASLVC6X6tnTEKiKwA==">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2024-05-28T01:36:00Z</dcterms:created>
  <dc:creator>Bruna Tramonte</dc:creator>
</cp:coreProperties>
</file>